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FD" w:rsidRPr="005315FD" w:rsidRDefault="005315FD" w:rsidP="005315FD">
      <w:pPr>
        <w:keepNext/>
        <w:spacing w:after="0" w:line="240" w:lineRule="auto"/>
        <w:outlineLvl w:val="2"/>
        <w:rPr>
          <w:rFonts w:ascii="Arial" w:eastAsia="Times New Roman" w:hAnsi="Arial" w:cs="Arial"/>
          <w:b/>
          <w:bCs/>
          <w:color w:val="000000"/>
          <w:sz w:val="26"/>
          <w:szCs w:val="26"/>
          <w:lang w:eastAsia="ru-RU"/>
        </w:rPr>
      </w:pPr>
      <w:r w:rsidRPr="005315FD">
        <w:rPr>
          <w:rFonts w:ascii="Times New Roman" w:eastAsia="Times New Roman" w:hAnsi="Times New Roman" w:cs="Times New Roman"/>
          <w:b/>
          <w:bCs/>
          <w:color w:val="000000"/>
          <w:sz w:val="20"/>
          <w:szCs w:val="20"/>
          <w:lang w:val="uk-UA" w:eastAsia="ru-RU"/>
        </w:rPr>
        <w:t>УДК 331.101.3:658.87:334.73</w:t>
      </w:r>
    </w:p>
    <w:p w:rsidR="005315FD" w:rsidRPr="005315FD" w:rsidRDefault="005315FD" w:rsidP="005315FD">
      <w:pPr>
        <w:spacing w:after="0" w:line="240" w:lineRule="auto"/>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en-US" w:eastAsia="ru-RU"/>
        </w:rPr>
        <w:t> </w:t>
      </w:r>
    </w:p>
    <w:p w:rsidR="005315FD" w:rsidRPr="005315FD" w:rsidRDefault="005315FD" w:rsidP="005315FD">
      <w:pPr>
        <w:spacing w:after="0" w:line="240" w:lineRule="auto"/>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b/>
          <w:bCs/>
          <w:i/>
          <w:iCs/>
          <w:color w:val="000000"/>
          <w:sz w:val="20"/>
          <w:szCs w:val="20"/>
          <w:lang w:val="uk-UA" w:eastAsia="ru-RU"/>
        </w:rPr>
        <w:t> </w:t>
      </w:r>
    </w:p>
    <w:p w:rsidR="005315FD" w:rsidRPr="005315FD" w:rsidRDefault="005315FD" w:rsidP="005315FD">
      <w:pPr>
        <w:spacing w:after="0" w:line="240" w:lineRule="auto"/>
        <w:rPr>
          <w:rFonts w:ascii="Times New Roman" w:eastAsia="Times New Roman" w:hAnsi="Times New Roman" w:cs="Times New Roman"/>
          <w:color w:val="000000"/>
          <w:sz w:val="20"/>
          <w:szCs w:val="20"/>
          <w:lang w:eastAsia="ru-RU"/>
        </w:rPr>
      </w:pPr>
      <w:proofErr w:type="spellStart"/>
      <w:r w:rsidRPr="005315FD">
        <w:rPr>
          <w:rFonts w:ascii="Times New Roman" w:eastAsia="Times New Roman" w:hAnsi="Times New Roman" w:cs="Times New Roman"/>
          <w:b/>
          <w:bCs/>
          <w:color w:val="000000"/>
          <w:sz w:val="20"/>
          <w:szCs w:val="20"/>
          <w:lang w:val="uk-UA" w:eastAsia="ru-RU"/>
        </w:rPr>
        <w:t>Тужилкіна</w:t>
      </w:r>
      <w:proofErr w:type="spellEnd"/>
      <w:r w:rsidRPr="005315FD">
        <w:rPr>
          <w:rFonts w:ascii="Times New Roman" w:eastAsia="Times New Roman" w:hAnsi="Times New Roman" w:cs="Times New Roman"/>
          <w:b/>
          <w:bCs/>
          <w:color w:val="000000"/>
          <w:sz w:val="20"/>
          <w:szCs w:val="20"/>
          <w:lang w:val="uk-UA" w:eastAsia="ru-RU"/>
        </w:rPr>
        <w:t xml:space="preserve"> О.В.</w:t>
      </w:r>
    </w:p>
    <w:p w:rsidR="005315FD" w:rsidRPr="005315FD" w:rsidRDefault="005315FD" w:rsidP="005315FD">
      <w:pPr>
        <w:spacing w:after="0" w:line="240" w:lineRule="auto"/>
        <w:ind w:firstLine="567"/>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 </w:t>
      </w:r>
    </w:p>
    <w:p w:rsidR="005315FD" w:rsidRPr="005315FD" w:rsidRDefault="005315FD" w:rsidP="005315FD">
      <w:pPr>
        <w:spacing w:after="0" w:line="240" w:lineRule="auto"/>
        <w:ind w:firstLine="567"/>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 </w:t>
      </w:r>
    </w:p>
    <w:p w:rsidR="005315FD" w:rsidRPr="005315FD" w:rsidRDefault="005315FD" w:rsidP="005315FD">
      <w:pPr>
        <w:spacing w:after="0" w:line="240" w:lineRule="auto"/>
        <w:ind w:left="540"/>
        <w:jc w:val="center"/>
        <w:rPr>
          <w:rFonts w:ascii="Times New Roman" w:eastAsia="Times New Roman" w:hAnsi="Times New Roman" w:cs="Times New Roman"/>
          <w:color w:val="000000"/>
          <w:sz w:val="20"/>
          <w:szCs w:val="20"/>
          <w:lang w:eastAsia="ru-RU"/>
        </w:rPr>
      </w:pPr>
      <w:bookmarkStart w:id="0" w:name="_GoBack"/>
      <w:r w:rsidRPr="005315FD">
        <w:rPr>
          <w:rFonts w:ascii="Courier New" w:eastAsia="Times New Roman" w:hAnsi="Courier New" w:cs="Courier New"/>
          <w:b/>
          <w:bCs/>
          <w:color w:val="000000"/>
          <w:sz w:val="28"/>
          <w:szCs w:val="28"/>
          <w:lang w:val="uk-UA" w:eastAsia="ru-RU"/>
        </w:rPr>
        <w:t>ІНТЕГРАЛЬНА ОЦІНКА ЕФЕКТИВНОЇ МОТИВАЦІЇ ПРАЦІ У РОЗДРІБНІЙ ТОРГІВЛІ В КОНТЕКСТІ ПІДВИЩЕННЯ ЯКОСТІ ЖИТТЯ</w:t>
      </w:r>
    </w:p>
    <w:p w:rsidR="005315FD" w:rsidRPr="005315FD" w:rsidRDefault="005315FD" w:rsidP="005315FD">
      <w:pPr>
        <w:spacing w:after="0" w:line="240" w:lineRule="auto"/>
        <w:ind w:left="540"/>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i/>
          <w:iCs/>
          <w:color w:val="000000"/>
          <w:sz w:val="20"/>
          <w:szCs w:val="20"/>
          <w:lang w:val="uk-UA" w:eastAsia="ru-RU"/>
        </w:rPr>
        <w:t> </w:t>
      </w:r>
    </w:p>
    <w:bookmarkEnd w:id="0"/>
    <w:p w:rsidR="005315FD" w:rsidRPr="005315FD" w:rsidRDefault="005315FD" w:rsidP="005315FD">
      <w:pPr>
        <w:spacing w:after="0" w:line="240" w:lineRule="auto"/>
        <w:ind w:left="540"/>
        <w:jc w:val="both"/>
        <w:rPr>
          <w:rFonts w:ascii="Times New Roman" w:eastAsia="Times New Roman" w:hAnsi="Times New Roman" w:cs="Times New Roman"/>
          <w:color w:val="000000"/>
          <w:sz w:val="20"/>
          <w:szCs w:val="20"/>
          <w:lang w:val="uk-UA" w:eastAsia="ru-RU"/>
        </w:rPr>
      </w:pPr>
      <w:r w:rsidRPr="005315FD">
        <w:rPr>
          <w:rFonts w:ascii="Times New Roman" w:eastAsia="Times New Roman" w:hAnsi="Times New Roman" w:cs="Times New Roman"/>
          <w:i/>
          <w:iCs/>
          <w:color w:val="000000"/>
          <w:sz w:val="20"/>
          <w:szCs w:val="20"/>
          <w:lang w:val="uk-UA" w:eastAsia="ru-RU"/>
        </w:rPr>
        <w:t xml:space="preserve">У статті розглядається проблема комплексного оцінювання ефективної мотивації праці в контексті підвищення якості життя. Основою авторських розробок, викладених у статті, є методика, що запропонована Радою по вивченню продуктивних сил України НАН України та Державним комітетом </w:t>
      </w:r>
      <w:proofErr w:type="spellStart"/>
      <w:r w:rsidRPr="005315FD">
        <w:rPr>
          <w:rFonts w:ascii="Times New Roman" w:eastAsia="Times New Roman" w:hAnsi="Times New Roman" w:cs="Times New Roman"/>
          <w:i/>
          <w:iCs/>
          <w:color w:val="000000"/>
          <w:sz w:val="20"/>
          <w:szCs w:val="20"/>
          <w:lang w:val="uk-UA" w:eastAsia="ru-RU"/>
        </w:rPr>
        <w:t>статисти</w:t>
      </w:r>
      <w:proofErr w:type="spellEnd"/>
      <w:r w:rsidRPr="005315FD">
        <w:rPr>
          <w:rFonts w:ascii="Times New Roman" w:eastAsia="Times New Roman" w:hAnsi="Times New Roman" w:cs="Times New Roman"/>
          <w:i/>
          <w:iCs/>
          <w:color w:val="000000"/>
          <w:sz w:val="20"/>
          <w:szCs w:val="20"/>
          <w:lang w:val="uk-UA" w:eastAsia="ru-RU"/>
        </w:rPr>
        <w:t>ки  України. Автором визначено територіальну диференціацію рівня інтегрального індикатору забезпечення ефективної мотивації праці у роздрібній торгівлі споживчої кооперації Полтавського регіону в контексті підвищення якості життя.</w:t>
      </w:r>
    </w:p>
    <w:p w:rsidR="005315FD" w:rsidRPr="005315FD" w:rsidRDefault="005315FD" w:rsidP="005315FD">
      <w:pPr>
        <w:spacing w:after="0" w:line="240" w:lineRule="auto"/>
        <w:ind w:left="540"/>
        <w:jc w:val="both"/>
        <w:rPr>
          <w:rFonts w:ascii="Times New Roman" w:eastAsia="Times New Roman" w:hAnsi="Times New Roman" w:cs="Times New Roman"/>
          <w:color w:val="000000"/>
          <w:sz w:val="20"/>
          <w:szCs w:val="20"/>
          <w:lang w:val="uk-UA" w:eastAsia="ru-RU"/>
        </w:rPr>
      </w:pPr>
      <w:r w:rsidRPr="005315FD">
        <w:rPr>
          <w:rFonts w:ascii="Times New Roman" w:eastAsia="Times New Roman" w:hAnsi="Times New Roman" w:cs="Times New Roman"/>
          <w:b/>
          <w:bCs/>
          <w:i/>
          <w:iCs/>
          <w:color w:val="000000"/>
          <w:sz w:val="20"/>
          <w:szCs w:val="20"/>
          <w:lang w:val="uk-UA" w:eastAsia="ru-RU"/>
        </w:rPr>
        <w:t>Ключові слова: </w:t>
      </w:r>
      <w:r w:rsidRPr="005315FD">
        <w:rPr>
          <w:rFonts w:ascii="Times New Roman" w:eastAsia="Times New Roman" w:hAnsi="Times New Roman" w:cs="Times New Roman"/>
          <w:i/>
          <w:iCs/>
          <w:color w:val="000000"/>
          <w:sz w:val="20"/>
          <w:szCs w:val="20"/>
          <w:lang w:val="uk-UA" w:eastAsia="ru-RU"/>
        </w:rPr>
        <w:t>ефективна мотивація праці, якість життя, комплексне оцінювання, факторний аналіз,  індикатори.</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val="uk-UA" w:eastAsia="ru-RU"/>
        </w:rPr>
      </w:pPr>
      <w:r w:rsidRPr="005315FD">
        <w:rPr>
          <w:rFonts w:ascii="Times New Roman" w:eastAsia="Times New Roman" w:hAnsi="Times New Roman" w:cs="Times New Roman"/>
          <w:b/>
          <w:bCs/>
          <w:color w:val="000000"/>
          <w:sz w:val="20"/>
          <w:szCs w:val="20"/>
          <w:lang w:val="uk-UA" w:eastAsia="ru-RU"/>
        </w:rPr>
        <w:t> </w:t>
      </w:r>
    </w:p>
    <w:p w:rsidR="005315FD" w:rsidRPr="005315FD" w:rsidRDefault="005315FD" w:rsidP="005315FD">
      <w:pPr>
        <w:spacing w:after="0" w:line="240" w:lineRule="auto"/>
        <w:rPr>
          <w:rFonts w:ascii="Times New Roman" w:eastAsia="Times New Roman" w:hAnsi="Times New Roman" w:cs="Times New Roman"/>
          <w:sz w:val="24"/>
          <w:szCs w:val="24"/>
          <w:lang w:val="uk-UA" w:eastAsia="ru-RU"/>
        </w:rPr>
      </w:pPr>
      <w:r w:rsidRPr="005315FD">
        <w:rPr>
          <w:rFonts w:ascii="Times New Roman" w:eastAsia="Times New Roman" w:hAnsi="Times New Roman" w:cs="Times New Roman"/>
          <w:b/>
          <w:bCs/>
          <w:caps/>
          <w:color w:val="000000"/>
          <w:sz w:val="20"/>
          <w:szCs w:val="20"/>
          <w:lang w:val="uk-UA" w:eastAsia="ru-RU"/>
        </w:rPr>
        <w:br/>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val="uk-UA" w:eastAsia="ru-RU"/>
        </w:rPr>
      </w:pPr>
      <w:r w:rsidRPr="005315FD">
        <w:rPr>
          <w:rFonts w:ascii="Times New Roman" w:eastAsia="Times New Roman" w:hAnsi="Times New Roman" w:cs="Times New Roman"/>
          <w:b/>
          <w:bCs/>
          <w:caps/>
          <w:color w:val="000000"/>
          <w:sz w:val="20"/>
          <w:szCs w:val="20"/>
          <w:lang w:val="uk-UA" w:eastAsia="ru-RU"/>
        </w:rPr>
        <w:t>ВСТУП</w:t>
      </w:r>
      <w:bookmarkStart w:id="1" w:name="_ftnref1"/>
      <w:r w:rsidRPr="005315FD">
        <w:rPr>
          <w:rFonts w:ascii="Times New Roman" w:eastAsia="Times New Roman" w:hAnsi="Times New Roman" w:cs="Times New Roman"/>
          <w:b/>
          <w:bCs/>
          <w:caps/>
          <w:color w:val="000000"/>
          <w:sz w:val="20"/>
          <w:szCs w:val="20"/>
          <w:lang w:val="uk-UA" w:eastAsia="ru-RU"/>
        </w:rPr>
        <w:fldChar w:fldCharType="begin"/>
      </w:r>
      <w:r w:rsidRPr="005315FD">
        <w:rPr>
          <w:rFonts w:ascii="Times New Roman" w:eastAsia="Times New Roman" w:hAnsi="Times New Roman" w:cs="Times New Roman"/>
          <w:b/>
          <w:bCs/>
          <w:caps/>
          <w:color w:val="000000"/>
          <w:sz w:val="20"/>
          <w:szCs w:val="20"/>
          <w:lang w:val="uk-UA" w:eastAsia="ru-RU"/>
        </w:rPr>
        <w:instrText xml:space="preserve"> HYPERLINK "file:///C:\\Documents%20and%20Settings\\Admin\\%D0%A0%D0%B0%D0%B1%D0%BE%D1%87%D0%B8%D0%B9%20%D1%81%D1%82%D0%BE%D0%BB\\visnyk_1(38)\\statti\\57.htm" \l "_ftn1" \o "" </w:instrText>
      </w:r>
      <w:r w:rsidRPr="005315FD">
        <w:rPr>
          <w:rFonts w:ascii="Times New Roman" w:eastAsia="Times New Roman" w:hAnsi="Times New Roman" w:cs="Times New Roman"/>
          <w:b/>
          <w:bCs/>
          <w:caps/>
          <w:color w:val="000000"/>
          <w:sz w:val="20"/>
          <w:szCs w:val="20"/>
          <w:lang w:val="uk-UA" w:eastAsia="ru-RU"/>
        </w:rPr>
        <w:fldChar w:fldCharType="separate"/>
      </w:r>
      <w:r w:rsidRPr="005315FD">
        <w:rPr>
          <w:rFonts w:ascii="Times New Roman" w:eastAsia="Times New Roman" w:hAnsi="Times New Roman" w:cs="Times New Roman"/>
          <w:b/>
          <w:bCs/>
          <w:caps/>
          <w:color w:val="FFFFFF"/>
          <w:sz w:val="20"/>
          <w:szCs w:val="20"/>
          <w:u w:val="single"/>
          <w:vertAlign w:val="superscript"/>
          <w:lang w:val="uk-UA" w:eastAsia="ru-RU"/>
        </w:rPr>
        <w:t>[1]</w:t>
      </w:r>
      <w:r w:rsidRPr="005315FD">
        <w:rPr>
          <w:rFonts w:ascii="Times New Roman" w:eastAsia="Times New Roman" w:hAnsi="Times New Roman" w:cs="Times New Roman"/>
          <w:b/>
          <w:bCs/>
          <w:caps/>
          <w:color w:val="000000"/>
          <w:sz w:val="20"/>
          <w:szCs w:val="20"/>
          <w:lang w:val="uk-UA" w:eastAsia="ru-RU"/>
        </w:rPr>
        <w:fldChar w:fldCharType="end"/>
      </w:r>
      <w:bookmarkEnd w:id="1"/>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val="uk-UA" w:eastAsia="ru-RU"/>
        </w:rPr>
      </w:pPr>
      <w:r w:rsidRPr="005315FD">
        <w:rPr>
          <w:rFonts w:ascii="Times New Roman" w:eastAsia="Times New Roman" w:hAnsi="Times New Roman" w:cs="Times New Roman"/>
          <w:color w:val="000000"/>
          <w:sz w:val="20"/>
          <w:szCs w:val="20"/>
          <w:lang w:val="uk-UA" w:eastAsia="ru-RU"/>
        </w:rPr>
        <w:t xml:space="preserve">На сучасному етапі суспільного розвитку відбуваються значні трансформації, пов’язані зі змінами пріоритетів у стратегії розвитку вітчизняної економіки. Економічна та соціальна політика України спрямована на формування соціально орієнтованої ринкової економіки, однією з найважливіших ознак якої є максимальне використання суспільного потенціалу, зокрема людського. На підставі сучасного розуміння взаємозв’язку економічного та людського розвитку ефективна мотивація займає провідне місце у переліку проблем розвитку економіки та управління, зокрема забезпечення гідного рівня якості життя. Загальну теорію мотивації доповнюють дослідженнями різних напрямків наукової думки багато сучасних вчених, </w:t>
      </w:r>
      <w:proofErr w:type="spellStart"/>
      <w:r w:rsidRPr="005315FD">
        <w:rPr>
          <w:rFonts w:ascii="Times New Roman" w:eastAsia="Times New Roman" w:hAnsi="Times New Roman" w:cs="Times New Roman"/>
          <w:color w:val="000000"/>
          <w:sz w:val="20"/>
          <w:szCs w:val="20"/>
          <w:lang w:val="uk-UA" w:eastAsia="ru-RU"/>
        </w:rPr>
        <w:t>зо</w:t>
      </w:r>
      <w:proofErr w:type="spellEnd"/>
      <w:r w:rsidRPr="005315FD">
        <w:rPr>
          <w:rFonts w:ascii="Times New Roman" w:eastAsia="Times New Roman" w:hAnsi="Times New Roman" w:cs="Times New Roman"/>
          <w:color w:val="000000"/>
          <w:sz w:val="20"/>
          <w:szCs w:val="20"/>
          <w:lang w:val="uk-UA" w:eastAsia="ru-RU"/>
        </w:rPr>
        <w:t xml:space="preserve">крема  А. </w:t>
      </w:r>
      <w:proofErr w:type="spellStart"/>
      <w:r w:rsidRPr="005315FD">
        <w:rPr>
          <w:rFonts w:ascii="Times New Roman" w:eastAsia="Times New Roman" w:hAnsi="Times New Roman" w:cs="Times New Roman"/>
          <w:color w:val="000000"/>
          <w:sz w:val="20"/>
          <w:szCs w:val="20"/>
          <w:lang w:val="uk-UA" w:eastAsia="ru-RU"/>
        </w:rPr>
        <w:t>Афонин</w:t>
      </w:r>
      <w:proofErr w:type="spellEnd"/>
      <w:r w:rsidRPr="005315FD">
        <w:rPr>
          <w:rFonts w:ascii="Times New Roman" w:eastAsia="Times New Roman" w:hAnsi="Times New Roman" w:cs="Times New Roman"/>
          <w:color w:val="000000"/>
          <w:sz w:val="20"/>
          <w:szCs w:val="20"/>
          <w:lang w:val="uk-UA" w:eastAsia="ru-RU"/>
        </w:rPr>
        <w:t xml:space="preserve">, Д. Богиня, Л. </w:t>
      </w:r>
      <w:proofErr w:type="spellStart"/>
      <w:r w:rsidRPr="005315FD">
        <w:rPr>
          <w:rFonts w:ascii="Times New Roman" w:eastAsia="Times New Roman" w:hAnsi="Times New Roman" w:cs="Times New Roman"/>
          <w:color w:val="000000"/>
          <w:sz w:val="20"/>
          <w:szCs w:val="20"/>
          <w:lang w:val="uk-UA" w:eastAsia="ru-RU"/>
        </w:rPr>
        <w:t>Бунтовська</w:t>
      </w:r>
      <w:proofErr w:type="spellEnd"/>
      <w:r w:rsidRPr="005315FD">
        <w:rPr>
          <w:rFonts w:ascii="Times New Roman" w:eastAsia="Times New Roman" w:hAnsi="Times New Roman" w:cs="Times New Roman"/>
          <w:color w:val="000000"/>
          <w:sz w:val="20"/>
          <w:szCs w:val="20"/>
          <w:lang w:val="uk-UA" w:eastAsia="ru-RU"/>
        </w:rPr>
        <w:t xml:space="preserve">, Н. Волгін,                 Б. </w:t>
      </w:r>
      <w:proofErr w:type="spellStart"/>
      <w:r w:rsidRPr="005315FD">
        <w:rPr>
          <w:rFonts w:ascii="Times New Roman" w:eastAsia="Times New Roman" w:hAnsi="Times New Roman" w:cs="Times New Roman"/>
          <w:color w:val="000000"/>
          <w:sz w:val="20"/>
          <w:szCs w:val="20"/>
          <w:lang w:val="uk-UA" w:eastAsia="ru-RU"/>
        </w:rPr>
        <w:t>Генкин</w:t>
      </w:r>
      <w:proofErr w:type="spellEnd"/>
      <w:r w:rsidRPr="005315FD">
        <w:rPr>
          <w:rFonts w:ascii="Times New Roman" w:eastAsia="Times New Roman" w:hAnsi="Times New Roman" w:cs="Times New Roman"/>
          <w:color w:val="000000"/>
          <w:sz w:val="20"/>
          <w:szCs w:val="20"/>
          <w:lang w:val="uk-UA" w:eastAsia="ru-RU"/>
        </w:rPr>
        <w:t xml:space="preserve">, В. </w:t>
      </w:r>
      <w:proofErr w:type="spellStart"/>
      <w:r w:rsidRPr="005315FD">
        <w:rPr>
          <w:rFonts w:ascii="Times New Roman" w:eastAsia="Times New Roman" w:hAnsi="Times New Roman" w:cs="Times New Roman"/>
          <w:color w:val="000000"/>
          <w:sz w:val="20"/>
          <w:szCs w:val="20"/>
          <w:lang w:val="uk-UA" w:eastAsia="ru-RU"/>
        </w:rPr>
        <w:t>Герчиков</w:t>
      </w:r>
      <w:proofErr w:type="spellEnd"/>
      <w:r w:rsidRPr="005315FD">
        <w:rPr>
          <w:rFonts w:ascii="Times New Roman" w:eastAsia="Times New Roman" w:hAnsi="Times New Roman" w:cs="Times New Roman"/>
          <w:color w:val="000000"/>
          <w:sz w:val="20"/>
          <w:szCs w:val="20"/>
          <w:lang w:val="uk-UA" w:eastAsia="ru-RU"/>
        </w:rPr>
        <w:t xml:space="preserve">, В. </w:t>
      </w:r>
      <w:proofErr w:type="spellStart"/>
      <w:r w:rsidRPr="005315FD">
        <w:rPr>
          <w:rFonts w:ascii="Times New Roman" w:eastAsia="Times New Roman" w:hAnsi="Times New Roman" w:cs="Times New Roman"/>
          <w:color w:val="000000"/>
          <w:sz w:val="20"/>
          <w:szCs w:val="20"/>
          <w:lang w:val="uk-UA" w:eastAsia="ru-RU"/>
        </w:rPr>
        <w:t>Данюк</w:t>
      </w:r>
      <w:proofErr w:type="spellEnd"/>
      <w:r w:rsidRPr="005315FD">
        <w:rPr>
          <w:rFonts w:ascii="Times New Roman" w:eastAsia="Times New Roman" w:hAnsi="Times New Roman" w:cs="Times New Roman"/>
          <w:color w:val="000000"/>
          <w:sz w:val="20"/>
          <w:szCs w:val="20"/>
          <w:lang w:val="uk-UA" w:eastAsia="ru-RU"/>
        </w:rPr>
        <w:t xml:space="preserve">, Г. Дмитренко, М. </w:t>
      </w:r>
      <w:proofErr w:type="spellStart"/>
      <w:r w:rsidRPr="005315FD">
        <w:rPr>
          <w:rFonts w:ascii="Times New Roman" w:eastAsia="Times New Roman" w:hAnsi="Times New Roman" w:cs="Times New Roman"/>
          <w:color w:val="000000"/>
          <w:sz w:val="20"/>
          <w:szCs w:val="20"/>
          <w:lang w:val="uk-UA" w:eastAsia="ru-RU"/>
        </w:rPr>
        <w:t>Дороніна</w:t>
      </w:r>
      <w:proofErr w:type="spellEnd"/>
      <w:r w:rsidRPr="005315FD">
        <w:rPr>
          <w:rFonts w:ascii="Times New Roman" w:eastAsia="Times New Roman" w:hAnsi="Times New Roman" w:cs="Times New Roman"/>
          <w:color w:val="000000"/>
          <w:sz w:val="20"/>
          <w:szCs w:val="20"/>
          <w:lang w:val="uk-UA" w:eastAsia="ru-RU"/>
        </w:rPr>
        <w:t xml:space="preserve">, О. </w:t>
      </w:r>
      <w:proofErr w:type="spellStart"/>
      <w:r w:rsidRPr="005315FD">
        <w:rPr>
          <w:rFonts w:ascii="Times New Roman" w:eastAsia="Times New Roman" w:hAnsi="Times New Roman" w:cs="Times New Roman"/>
          <w:color w:val="000000"/>
          <w:sz w:val="20"/>
          <w:szCs w:val="20"/>
          <w:lang w:val="uk-UA" w:eastAsia="ru-RU"/>
        </w:rPr>
        <w:t>Здравомислов</w:t>
      </w:r>
      <w:proofErr w:type="spellEnd"/>
      <w:r w:rsidRPr="005315FD">
        <w:rPr>
          <w:rFonts w:ascii="Times New Roman" w:eastAsia="Times New Roman" w:hAnsi="Times New Roman" w:cs="Times New Roman"/>
          <w:color w:val="000000"/>
          <w:sz w:val="20"/>
          <w:szCs w:val="20"/>
          <w:lang w:val="uk-UA" w:eastAsia="ru-RU"/>
        </w:rPr>
        <w:t xml:space="preserve">, О. Єськов, М. </w:t>
      </w:r>
      <w:proofErr w:type="spellStart"/>
      <w:r w:rsidRPr="005315FD">
        <w:rPr>
          <w:rFonts w:ascii="Times New Roman" w:eastAsia="Times New Roman" w:hAnsi="Times New Roman" w:cs="Times New Roman"/>
          <w:color w:val="000000"/>
          <w:sz w:val="20"/>
          <w:szCs w:val="20"/>
          <w:lang w:val="uk-UA" w:eastAsia="ru-RU"/>
        </w:rPr>
        <w:t>Карлін</w:t>
      </w:r>
      <w:proofErr w:type="spellEnd"/>
      <w:r w:rsidRPr="005315FD">
        <w:rPr>
          <w:rFonts w:ascii="Times New Roman" w:eastAsia="Times New Roman" w:hAnsi="Times New Roman" w:cs="Times New Roman"/>
          <w:color w:val="000000"/>
          <w:sz w:val="20"/>
          <w:szCs w:val="20"/>
          <w:lang w:val="uk-UA" w:eastAsia="ru-RU"/>
        </w:rPr>
        <w:t xml:space="preserve">, Г. </w:t>
      </w:r>
      <w:proofErr w:type="spellStart"/>
      <w:r w:rsidRPr="005315FD">
        <w:rPr>
          <w:rFonts w:ascii="Times New Roman" w:eastAsia="Times New Roman" w:hAnsi="Times New Roman" w:cs="Times New Roman"/>
          <w:color w:val="000000"/>
          <w:sz w:val="20"/>
          <w:szCs w:val="20"/>
          <w:lang w:val="uk-UA" w:eastAsia="ru-RU"/>
        </w:rPr>
        <w:t>Куліков</w:t>
      </w:r>
      <w:proofErr w:type="spellEnd"/>
      <w:r w:rsidRPr="005315FD">
        <w:rPr>
          <w:rFonts w:ascii="Times New Roman" w:eastAsia="Times New Roman" w:hAnsi="Times New Roman" w:cs="Times New Roman"/>
          <w:color w:val="000000"/>
          <w:sz w:val="20"/>
          <w:szCs w:val="20"/>
          <w:lang w:val="uk-UA" w:eastAsia="ru-RU"/>
        </w:rPr>
        <w:t xml:space="preserve">, О. </w:t>
      </w:r>
      <w:proofErr w:type="spellStart"/>
      <w:r w:rsidRPr="005315FD">
        <w:rPr>
          <w:rFonts w:ascii="Times New Roman" w:eastAsia="Times New Roman" w:hAnsi="Times New Roman" w:cs="Times New Roman"/>
          <w:color w:val="000000"/>
          <w:sz w:val="20"/>
          <w:szCs w:val="20"/>
          <w:lang w:val="uk-UA" w:eastAsia="ru-RU"/>
        </w:rPr>
        <w:t>Кібанов</w:t>
      </w:r>
      <w:proofErr w:type="spellEnd"/>
      <w:r w:rsidRPr="005315FD">
        <w:rPr>
          <w:rFonts w:ascii="Times New Roman" w:eastAsia="Times New Roman" w:hAnsi="Times New Roman" w:cs="Times New Roman"/>
          <w:color w:val="000000"/>
          <w:sz w:val="20"/>
          <w:szCs w:val="20"/>
          <w:lang w:val="uk-UA" w:eastAsia="ru-RU"/>
        </w:rPr>
        <w:t xml:space="preserve">, А. </w:t>
      </w:r>
      <w:proofErr w:type="spellStart"/>
      <w:r w:rsidRPr="005315FD">
        <w:rPr>
          <w:rFonts w:ascii="Times New Roman" w:eastAsia="Times New Roman" w:hAnsi="Times New Roman" w:cs="Times New Roman"/>
          <w:color w:val="000000"/>
          <w:sz w:val="20"/>
          <w:szCs w:val="20"/>
          <w:lang w:val="uk-UA" w:eastAsia="ru-RU"/>
        </w:rPr>
        <w:t>Колот</w:t>
      </w:r>
      <w:proofErr w:type="spellEnd"/>
      <w:r w:rsidRPr="005315FD">
        <w:rPr>
          <w:rFonts w:ascii="Times New Roman" w:eastAsia="Times New Roman" w:hAnsi="Times New Roman" w:cs="Times New Roman"/>
          <w:color w:val="000000"/>
          <w:sz w:val="20"/>
          <w:szCs w:val="20"/>
          <w:lang w:val="uk-UA" w:eastAsia="ru-RU"/>
        </w:rPr>
        <w:t xml:space="preserve">, Т. </w:t>
      </w:r>
      <w:proofErr w:type="spellStart"/>
      <w:r w:rsidRPr="005315FD">
        <w:rPr>
          <w:rFonts w:ascii="Times New Roman" w:eastAsia="Times New Roman" w:hAnsi="Times New Roman" w:cs="Times New Roman"/>
          <w:color w:val="000000"/>
          <w:sz w:val="20"/>
          <w:szCs w:val="20"/>
          <w:lang w:val="uk-UA" w:eastAsia="ru-RU"/>
        </w:rPr>
        <w:t>Костишина</w:t>
      </w:r>
      <w:proofErr w:type="spellEnd"/>
      <w:r w:rsidRPr="005315FD">
        <w:rPr>
          <w:rFonts w:ascii="Times New Roman" w:eastAsia="Times New Roman" w:hAnsi="Times New Roman" w:cs="Times New Roman"/>
          <w:color w:val="000000"/>
          <w:sz w:val="20"/>
          <w:szCs w:val="20"/>
          <w:lang w:val="uk-UA" w:eastAsia="ru-RU"/>
        </w:rPr>
        <w:t xml:space="preserve">, Н. </w:t>
      </w:r>
      <w:proofErr w:type="spellStart"/>
      <w:r w:rsidRPr="005315FD">
        <w:rPr>
          <w:rFonts w:ascii="Times New Roman" w:eastAsia="Times New Roman" w:hAnsi="Times New Roman" w:cs="Times New Roman"/>
          <w:color w:val="000000"/>
          <w:sz w:val="20"/>
          <w:szCs w:val="20"/>
          <w:lang w:val="uk-UA" w:eastAsia="ru-RU"/>
        </w:rPr>
        <w:t>Лукьянченко</w:t>
      </w:r>
      <w:proofErr w:type="spellEnd"/>
      <w:r w:rsidRPr="005315FD">
        <w:rPr>
          <w:rFonts w:ascii="Times New Roman" w:eastAsia="Times New Roman" w:hAnsi="Times New Roman" w:cs="Times New Roman"/>
          <w:color w:val="000000"/>
          <w:sz w:val="20"/>
          <w:szCs w:val="20"/>
          <w:lang w:val="uk-UA" w:eastAsia="ru-RU"/>
        </w:rPr>
        <w:t xml:space="preserve">, М. </w:t>
      </w:r>
      <w:proofErr w:type="spellStart"/>
      <w:r w:rsidRPr="005315FD">
        <w:rPr>
          <w:rFonts w:ascii="Times New Roman" w:eastAsia="Times New Roman" w:hAnsi="Times New Roman" w:cs="Times New Roman"/>
          <w:color w:val="000000"/>
          <w:sz w:val="20"/>
          <w:szCs w:val="20"/>
          <w:lang w:val="uk-UA" w:eastAsia="ru-RU"/>
        </w:rPr>
        <w:t>Семикіна</w:t>
      </w:r>
      <w:proofErr w:type="spellEnd"/>
      <w:r w:rsidRPr="005315FD">
        <w:rPr>
          <w:rFonts w:ascii="Times New Roman" w:eastAsia="Times New Roman" w:hAnsi="Times New Roman" w:cs="Times New Roman"/>
          <w:color w:val="000000"/>
          <w:sz w:val="20"/>
          <w:szCs w:val="20"/>
          <w:lang w:val="uk-UA" w:eastAsia="ru-RU"/>
        </w:rPr>
        <w:t xml:space="preserve">,    Є. Уткін, Л. </w:t>
      </w:r>
      <w:proofErr w:type="spellStart"/>
      <w:r w:rsidRPr="005315FD">
        <w:rPr>
          <w:rFonts w:ascii="Times New Roman" w:eastAsia="Times New Roman" w:hAnsi="Times New Roman" w:cs="Times New Roman"/>
          <w:color w:val="000000"/>
          <w:sz w:val="20"/>
          <w:szCs w:val="20"/>
          <w:lang w:val="uk-UA" w:eastAsia="ru-RU"/>
        </w:rPr>
        <w:t>Червінська</w:t>
      </w:r>
      <w:proofErr w:type="spellEnd"/>
      <w:r w:rsidRPr="005315FD">
        <w:rPr>
          <w:rFonts w:ascii="Times New Roman" w:eastAsia="Times New Roman" w:hAnsi="Times New Roman" w:cs="Times New Roman"/>
          <w:color w:val="000000"/>
          <w:sz w:val="20"/>
          <w:szCs w:val="20"/>
          <w:lang w:val="uk-UA" w:eastAsia="ru-RU"/>
        </w:rPr>
        <w:t xml:space="preserve"> та ін. Більшість з них дійшли до висновку, що надзвичайно складним завданням при дослідженні мотивації праці є її кількісна оцінка.</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4"/>
          <w:szCs w:val="24"/>
          <w:lang w:eastAsia="ru-RU"/>
        </w:rPr>
      </w:pPr>
      <w:r w:rsidRPr="005315FD">
        <w:rPr>
          <w:rFonts w:ascii="Times New Roman" w:eastAsia="Times New Roman" w:hAnsi="Times New Roman" w:cs="Times New Roman"/>
          <w:color w:val="000000"/>
          <w:sz w:val="20"/>
          <w:szCs w:val="20"/>
          <w:lang w:val="uk-UA" w:eastAsia="ru-RU"/>
        </w:rPr>
        <w:t>Метою даної роботи є удосконалення методичного забезпечення комплексної оцінки ефективної мотивації праці в контексті підвищення якості життя. Досягнення зазначеної мети зумовило необхідність постановки та розв’язання таких дослідницьких завдань: адаптувати методику до вирішення конкретного практичного завдання та провести поділ територій Полтавського регіону за рівнем забезпечення ефективної мотивації праці в контексті підвищення якості життя.</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b/>
          <w:bCs/>
          <w:caps/>
          <w:color w:val="000000"/>
          <w:sz w:val="20"/>
          <w:szCs w:val="20"/>
          <w:lang w:val="uk-UA" w:eastAsia="ru-RU"/>
        </w:rPr>
        <w:t>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b/>
          <w:bCs/>
          <w:caps/>
          <w:color w:val="000000"/>
          <w:sz w:val="20"/>
          <w:szCs w:val="20"/>
          <w:lang w:val="uk-UA" w:eastAsia="ru-RU"/>
        </w:rPr>
        <w:t>РЕЗУЛЬТАТИ ДОСЛІДЖЕННЯ</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b/>
          <w:bCs/>
          <w:caps/>
          <w:color w:val="000000"/>
          <w:sz w:val="20"/>
          <w:szCs w:val="20"/>
          <w:lang w:val="uk-UA" w:eastAsia="ru-RU"/>
        </w:rPr>
        <w:t>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val="uk-UA" w:eastAsia="ru-RU"/>
        </w:rPr>
      </w:pPr>
      <w:r w:rsidRPr="005315FD">
        <w:rPr>
          <w:rFonts w:ascii="Times New Roman" w:eastAsia="Times New Roman" w:hAnsi="Times New Roman" w:cs="Times New Roman"/>
          <w:color w:val="000000"/>
          <w:sz w:val="20"/>
          <w:szCs w:val="20"/>
          <w:lang w:val="uk-UA" w:eastAsia="ru-RU"/>
        </w:rPr>
        <w:t xml:space="preserve">Комплексне діагностування забезпечення ефективної мотивації праці в контексті підвищення якості життя потребує розрахунку інтегрального індикатора. Для розрахунку цього індикатора доцільно використовувати методику відбору показників, нормування та визначення вагових коефіцієнтів для розрахунку індексу людського розвитку, запропоновану Радою по вивченню продуктивних сил України НАН України та Державним комітетом </w:t>
      </w:r>
      <w:proofErr w:type="spellStart"/>
      <w:r w:rsidRPr="005315FD">
        <w:rPr>
          <w:rFonts w:ascii="Times New Roman" w:eastAsia="Times New Roman" w:hAnsi="Times New Roman" w:cs="Times New Roman"/>
          <w:color w:val="000000"/>
          <w:sz w:val="20"/>
          <w:szCs w:val="20"/>
          <w:lang w:val="uk-UA" w:eastAsia="ru-RU"/>
        </w:rPr>
        <w:t>статисти</w:t>
      </w:r>
      <w:proofErr w:type="spellEnd"/>
      <w:r w:rsidRPr="005315FD">
        <w:rPr>
          <w:rFonts w:ascii="Times New Roman" w:eastAsia="Times New Roman" w:hAnsi="Times New Roman" w:cs="Times New Roman"/>
          <w:color w:val="000000"/>
          <w:sz w:val="20"/>
          <w:szCs w:val="20"/>
          <w:lang w:val="uk-UA" w:eastAsia="ru-RU"/>
        </w:rPr>
        <w:t>ки  України. Відповідно до цієї методики, на концептуальному рівні цілком логічним вважається здійснення системного аналізу проблеми, що передбачає її структуризацію; визначення питомого внеску кожного з структурних компонентів до кінцевого результату; розрахунок інтегральних регіональних індексів ефективної мотивації праці [1, с. 19-21].</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val="uk-UA" w:eastAsia="ru-RU"/>
        </w:rPr>
      </w:pPr>
      <w:r w:rsidRPr="005315FD">
        <w:rPr>
          <w:rFonts w:ascii="Times New Roman" w:eastAsia="Times New Roman" w:hAnsi="Times New Roman" w:cs="Times New Roman"/>
          <w:color w:val="000000"/>
          <w:sz w:val="20"/>
          <w:szCs w:val="20"/>
          <w:lang w:val="uk-UA" w:eastAsia="ru-RU"/>
        </w:rPr>
        <w:t>Найбільш прийнятним для побудови інтегрального індикатора забезпечення ефективної мотивації праці є застосування ієрархічної схеми, згідно з якою найбільш вагомий індикатор займає найвищий щабель, тоді як до нижчого рівня належать узагальнюючі, менш вагомі індикатори, які характеризують певні аспекти забезпечення ефективної мотивації праці.</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Для відбору показників найбільш доцільно застосування методу факторного аналізу, який передбачає знаходження кореляційного зв’язку між окремими аспектами досліджуваного аспекту та дозволяє побудувати узагаль</w:t>
      </w:r>
      <w:r w:rsidRPr="005315FD">
        <w:rPr>
          <w:rFonts w:ascii="Times New Roman" w:eastAsia="Times New Roman" w:hAnsi="Times New Roman" w:cs="Times New Roman"/>
          <w:color w:val="000000"/>
          <w:sz w:val="20"/>
          <w:szCs w:val="20"/>
          <w:lang w:val="uk-UA" w:eastAsia="ru-RU"/>
        </w:rPr>
        <w:softHyphen/>
        <w:t>нюючі фактори. Зокрема, у якості бази для побудови цих факторів відби</w:t>
      </w:r>
      <w:r w:rsidRPr="005315FD">
        <w:rPr>
          <w:rFonts w:ascii="Times New Roman" w:eastAsia="Times New Roman" w:hAnsi="Times New Roman" w:cs="Times New Roman"/>
          <w:color w:val="000000"/>
          <w:sz w:val="20"/>
          <w:szCs w:val="20"/>
          <w:lang w:val="uk-UA" w:eastAsia="ru-RU"/>
        </w:rPr>
        <w:softHyphen/>
        <w:t>раються групи показників, які систематизуються в залежності від характеру та міри їх впливу на означений чинник.</w:t>
      </w:r>
    </w:p>
    <w:p w:rsidR="005315FD" w:rsidRPr="005315FD" w:rsidRDefault="005315FD" w:rsidP="005315FD">
      <w:pPr>
        <w:spacing w:after="0" w:line="240" w:lineRule="auto"/>
        <w:ind w:firstLine="567"/>
        <w:rPr>
          <w:rFonts w:ascii="Times New Roman" w:eastAsia="Times New Roman" w:hAnsi="Times New Roman" w:cs="Times New Roman"/>
          <w:color w:val="000000"/>
          <w:sz w:val="24"/>
          <w:szCs w:val="24"/>
          <w:lang w:eastAsia="ru-RU"/>
        </w:rPr>
      </w:pPr>
      <w:r w:rsidRPr="005315FD">
        <w:rPr>
          <w:rFonts w:ascii="Times New Roman" w:eastAsia="Times New Roman" w:hAnsi="Times New Roman" w:cs="Times New Roman"/>
          <w:color w:val="000000"/>
          <w:sz w:val="20"/>
          <w:szCs w:val="20"/>
          <w:lang w:val="uk-UA" w:eastAsia="ru-RU"/>
        </w:rPr>
        <w:t xml:space="preserve">При цьому необхідно враховувати, що у ряді випадків необхідною складовою процедури кількісної оцінки рівня забезпечення ефективної мотивації праці є попереднє нормування відібраних показників, яке забезпечує порівнянність існуючої інформаційної бази. Найбільш адекватним вважається нормування в залежності від належності показника до групи стимуляторів та </w:t>
      </w:r>
      <w:proofErr w:type="spellStart"/>
      <w:r w:rsidRPr="005315FD">
        <w:rPr>
          <w:rFonts w:ascii="Times New Roman" w:eastAsia="Times New Roman" w:hAnsi="Times New Roman" w:cs="Times New Roman"/>
          <w:color w:val="000000"/>
          <w:sz w:val="20"/>
          <w:szCs w:val="20"/>
          <w:lang w:val="uk-UA" w:eastAsia="ru-RU"/>
        </w:rPr>
        <w:t>де</w:t>
      </w:r>
      <w:proofErr w:type="spellEnd"/>
      <w:r w:rsidRPr="005315FD">
        <w:rPr>
          <w:rFonts w:ascii="Times New Roman" w:eastAsia="Times New Roman" w:hAnsi="Times New Roman" w:cs="Times New Roman"/>
          <w:color w:val="000000"/>
          <w:sz w:val="20"/>
          <w:szCs w:val="20"/>
          <w:lang w:val="uk-UA" w:eastAsia="ru-RU"/>
        </w:rPr>
        <w:t>стимуляторів </w:t>
      </w:r>
      <w:r w:rsidRPr="005315FD">
        <w:rPr>
          <w:rFonts w:ascii="Symbol" w:eastAsia="Times New Roman" w:hAnsi="Symbol" w:cs="Times New Roman"/>
          <w:color w:val="000000"/>
          <w:sz w:val="20"/>
          <w:szCs w:val="20"/>
          <w:lang w:val="uk-UA" w:eastAsia="ru-RU"/>
        </w:rPr>
        <w:t></w:t>
      </w:r>
      <w:r w:rsidRPr="005315FD">
        <w:rPr>
          <w:rFonts w:ascii="Times New Roman" w:eastAsia="Times New Roman" w:hAnsi="Times New Roman" w:cs="Times New Roman"/>
          <w:color w:val="000000"/>
          <w:sz w:val="20"/>
          <w:szCs w:val="20"/>
          <w:lang w:val="uk-UA" w:eastAsia="ru-RU"/>
        </w:rPr>
        <w:t>1, с. 19</w:t>
      </w:r>
      <w:r w:rsidRPr="005315FD">
        <w:rPr>
          <w:rFonts w:ascii="Symbol" w:eastAsia="Times New Roman" w:hAnsi="Symbol" w:cs="Times New Roman"/>
          <w:color w:val="000000"/>
          <w:sz w:val="20"/>
          <w:szCs w:val="20"/>
          <w:lang w:val="uk-UA" w:eastAsia="ru-RU"/>
        </w:rPr>
        <w:t></w:t>
      </w:r>
      <w:r w:rsidRPr="005315FD">
        <w:rPr>
          <w:rFonts w:ascii="Times New Roman" w:eastAsia="Times New Roman" w:hAnsi="Times New Roman" w:cs="Times New Roman"/>
          <w:color w:val="000000"/>
          <w:sz w:val="20"/>
          <w:szCs w:val="20"/>
          <w:lang w:val="uk-UA" w:eastAsia="ru-RU"/>
        </w:rPr>
        <w:t>.</w:t>
      </w:r>
    </w:p>
    <w:p w:rsidR="005315FD" w:rsidRPr="005315FD" w:rsidRDefault="005315FD" w:rsidP="005315FD">
      <w:pPr>
        <w:spacing w:after="0" w:line="240" w:lineRule="auto"/>
        <w:ind w:firstLine="567"/>
        <w:jc w:val="center"/>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lastRenderedPageBreak/>
        <w:t>Для нормування показників-стимуляторів, збільшення яких стимулює зростання індикатора забезпечення ефективної мотивації праці, використовується така формула:</w:t>
      </w:r>
    </w:p>
    <w:p w:rsidR="005315FD" w:rsidRPr="005315FD" w:rsidRDefault="005315FD" w:rsidP="005315FD">
      <w:pPr>
        <w:spacing w:after="0" w:line="240" w:lineRule="auto"/>
        <w:jc w:val="center"/>
        <w:rPr>
          <w:rFonts w:ascii="Times New Roman" w:eastAsia="Times New Roman" w:hAnsi="Times New Roman" w:cs="Times New Roman"/>
          <w:color w:val="000000"/>
          <w:sz w:val="20"/>
          <w:szCs w:val="20"/>
          <w:lang w:eastAsia="ru-RU"/>
        </w:rPr>
      </w:pPr>
      <w:r>
        <w:rPr>
          <w:noProof/>
          <w:lang w:eastAsia="ru-RU"/>
        </w:rPr>
        <w:drawing>
          <wp:inline distT="0" distB="0" distL="0" distR="0" wp14:anchorId="62F8CDE6" wp14:editId="7DFFD0E9">
            <wp:extent cx="12192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19200" cy="514350"/>
                    </a:xfrm>
                    <a:prstGeom prst="rect">
                      <a:avLst/>
                    </a:prstGeom>
                  </pic:spPr>
                </pic:pic>
              </a:graphicData>
            </a:graphic>
          </wp:inline>
        </w:drawing>
      </w:r>
      <w:r w:rsidRPr="005315FD">
        <w:rPr>
          <w:rFonts w:ascii="Times New Roman" w:eastAsia="Times New Roman" w:hAnsi="Times New Roman" w:cs="Times New Roman"/>
          <w:b/>
          <w:bCs/>
          <w:i/>
          <w:iCs/>
          <w:color w:val="000000"/>
          <w:sz w:val="20"/>
          <w:szCs w:val="20"/>
          <w:vertAlign w:val="subscript"/>
          <w:lang w:val="uk-UA" w:eastAsia="ru-RU"/>
        </w:rPr>
        <w:t> </w:t>
      </w:r>
      <w:r w:rsidRPr="005315FD">
        <w:rPr>
          <w:rFonts w:ascii="Times New Roman" w:eastAsia="Times New Roman" w:hAnsi="Times New Roman" w:cs="Times New Roman"/>
          <w:b/>
          <w:bCs/>
          <w:i/>
          <w:iCs/>
          <w:color w:val="000000"/>
          <w:sz w:val="20"/>
          <w:szCs w:val="20"/>
          <w:lang w:val="uk-UA" w:eastAsia="ru-RU"/>
        </w:rPr>
        <w:t>                        </w:t>
      </w:r>
      <w:r w:rsidRPr="005315FD">
        <w:rPr>
          <w:rFonts w:ascii="Times New Roman" w:eastAsia="Times New Roman" w:hAnsi="Times New Roman" w:cs="Times New Roman"/>
          <w:color w:val="000000"/>
          <w:sz w:val="20"/>
          <w:szCs w:val="20"/>
          <w:lang w:val="uk-UA" w:eastAsia="ru-RU"/>
        </w:rPr>
        <w:t>(1)</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5315FD">
        <w:rPr>
          <w:rFonts w:ascii="Times New Roman" w:eastAsia="Times New Roman" w:hAnsi="Times New Roman" w:cs="Times New Roman"/>
          <w:color w:val="000000"/>
          <w:sz w:val="20"/>
          <w:szCs w:val="20"/>
          <w:lang w:val="uk-UA" w:eastAsia="ru-RU"/>
        </w:rPr>
        <w:t>де               </w:t>
      </w:r>
      <w:r w:rsidRPr="005315FD">
        <w:rPr>
          <w:rFonts w:ascii="Times New Roman" w:eastAsia="Times New Roman" w:hAnsi="Times New Roman" w:cs="Times New Roman"/>
          <w:i/>
          <w:iCs/>
          <w:color w:val="000000"/>
          <w:sz w:val="20"/>
          <w:szCs w:val="20"/>
          <w:lang w:val="uk-UA" w:eastAsia="ru-RU"/>
        </w:rPr>
        <w:t>Z </w:t>
      </w:r>
      <w:r w:rsidRPr="005315FD">
        <w:rPr>
          <w:rFonts w:ascii="Times New Roman" w:eastAsia="Times New Roman" w:hAnsi="Times New Roman" w:cs="Times New Roman"/>
          <w:i/>
          <w:iCs/>
          <w:color w:val="000000"/>
          <w:sz w:val="20"/>
          <w:szCs w:val="20"/>
          <w:vertAlign w:val="subscript"/>
          <w:lang w:val="uk-UA" w:eastAsia="ru-RU"/>
        </w:rPr>
        <w:t>ij </w:t>
      </w:r>
      <w:r w:rsidRPr="005315FD">
        <w:rPr>
          <w:rFonts w:ascii="Times New Roman" w:eastAsia="Times New Roman" w:hAnsi="Times New Roman" w:cs="Times New Roman"/>
          <w:i/>
          <w:iCs/>
          <w:color w:val="000000"/>
          <w:sz w:val="20"/>
          <w:szCs w:val="20"/>
          <w:lang w:val="uk-UA" w:eastAsia="ru-RU"/>
        </w:rPr>
        <w:t>– </w:t>
      </w:r>
      <w:r w:rsidRPr="005315FD">
        <w:rPr>
          <w:rFonts w:ascii="Times New Roman" w:eastAsia="Times New Roman" w:hAnsi="Times New Roman" w:cs="Times New Roman"/>
          <w:color w:val="000000"/>
          <w:sz w:val="20"/>
          <w:szCs w:val="20"/>
          <w:lang w:val="uk-UA" w:eastAsia="ru-RU"/>
        </w:rPr>
        <w:t>значення </w:t>
      </w:r>
      <w:r w:rsidRPr="005315FD">
        <w:rPr>
          <w:rFonts w:ascii="Times New Roman" w:eastAsia="Times New Roman" w:hAnsi="Times New Roman" w:cs="Times New Roman"/>
          <w:i/>
          <w:iCs/>
          <w:color w:val="000000"/>
          <w:sz w:val="20"/>
          <w:szCs w:val="20"/>
          <w:lang w:val="uk-UA" w:eastAsia="ru-RU"/>
        </w:rPr>
        <w:t>і</w:t>
      </w:r>
      <w:proofErr w:type="spellEnd"/>
      <w:r w:rsidRPr="005315FD">
        <w:rPr>
          <w:rFonts w:ascii="Times New Roman" w:eastAsia="Times New Roman" w:hAnsi="Times New Roman" w:cs="Times New Roman"/>
          <w:i/>
          <w:iCs/>
          <w:color w:val="000000"/>
          <w:sz w:val="20"/>
          <w:szCs w:val="20"/>
          <w:lang w:val="uk-UA" w:eastAsia="ru-RU"/>
        </w:rPr>
        <w:t>-</w:t>
      </w:r>
      <w:r w:rsidRPr="005315FD">
        <w:rPr>
          <w:rFonts w:ascii="Times New Roman" w:eastAsia="Times New Roman" w:hAnsi="Times New Roman" w:cs="Times New Roman"/>
          <w:color w:val="000000"/>
          <w:sz w:val="20"/>
          <w:szCs w:val="20"/>
          <w:lang w:val="uk-UA" w:eastAsia="ru-RU"/>
        </w:rPr>
        <w:t>го показника в </w:t>
      </w:r>
      <w:r w:rsidRPr="005315FD">
        <w:rPr>
          <w:rFonts w:ascii="Times New Roman" w:eastAsia="Times New Roman" w:hAnsi="Times New Roman" w:cs="Times New Roman"/>
          <w:i/>
          <w:iCs/>
          <w:color w:val="000000"/>
          <w:sz w:val="20"/>
          <w:szCs w:val="20"/>
          <w:lang w:val="uk-UA" w:eastAsia="ru-RU"/>
        </w:rPr>
        <w:t>j-</w:t>
      </w:r>
      <w:r w:rsidRPr="005315FD">
        <w:rPr>
          <w:rFonts w:ascii="Times New Roman" w:eastAsia="Times New Roman" w:hAnsi="Times New Roman" w:cs="Times New Roman"/>
          <w:color w:val="000000"/>
          <w:sz w:val="20"/>
          <w:szCs w:val="20"/>
          <w:lang w:val="uk-UA" w:eastAsia="ru-RU"/>
        </w:rPr>
        <w:t>регіоні;</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i/>
          <w:iCs/>
          <w:color w:val="000000"/>
          <w:sz w:val="20"/>
          <w:szCs w:val="20"/>
          <w:lang w:val="uk-UA" w:eastAsia="ru-RU"/>
        </w:rPr>
        <w:t>Z </w:t>
      </w:r>
      <w:r w:rsidRPr="005315FD">
        <w:rPr>
          <w:rFonts w:ascii="Times New Roman" w:eastAsia="Times New Roman" w:hAnsi="Times New Roman" w:cs="Times New Roman"/>
          <w:i/>
          <w:iCs/>
          <w:color w:val="000000"/>
          <w:sz w:val="20"/>
          <w:szCs w:val="20"/>
          <w:vertAlign w:val="subscript"/>
          <w:lang w:val="uk-UA" w:eastAsia="ru-RU"/>
        </w:rPr>
        <w:t>i max </w:t>
      </w:r>
      <w:r w:rsidRPr="005315FD">
        <w:rPr>
          <w:rFonts w:ascii="Times New Roman" w:eastAsia="Times New Roman" w:hAnsi="Times New Roman" w:cs="Times New Roman"/>
          <w:color w:val="000000"/>
          <w:sz w:val="20"/>
          <w:szCs w:val="20"/>
          <w:lang w:val="uk-UA" w:eastAsia="ru-RU"/>
        </w:rPr>
        <w:t>– максимальне значення </w:t>
      </w:r>
      <w:r w:rsidRPr="005315FD">
        <w:rPr>
          <w:rFonts w:ascii="Times New Roman" w:eastAsia="Times New Roman" w:hAnsi="Times New Roman" w:cs="Times New Roman"/>
          <w:i/>
          <w:iCs/>
          <w:color w:val="000000"/>
          <w:sz w:val="20"/>
          <w:szCs w:val="20"/>
          <w:lang w:val="uk-UA" w:eastAsia="ru-RU"/>
        </w:rPr>
        <w:t>і</w:t>
      </w:r>
      <w:r w:rsidRPr="005315FD">
        <w:rPr>
          <w:rFonts w:ascii="Times New Roman" w:eastAsia="Times New Roman" w:hAnsi="Times New Roman" w:cs="Times New Roman"/>
          <w:color w:val="000000"/>
          <w:sz w:val="20"/>
          <w:szCs w:val="20"/>
          <w:lang w:val="uk-UA" w:eastAsia="ru-RU"/>
        </w:rPr>
        <w:t>-го показника;</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i/>
          <w:iCs/>
          <w:color w:val="000000"/>
          <w:sz w:val="20"/>
          <w:szCs w:val="20"/>
          <w:vertAlign w:val="subscript"/>
          <w:lang w:val="uk-UA" w:eastAsia="ru-RU"/>
        </w:rPr>
        <w:t> </w:t>
      </w:r>
      <w:r w:rsidRPr="005315FD">
        <w:rPr>
          <w:rFonts w:ascii="Times New Roman" w:eastAsia="Times New Roman" w:hAnsi="Times New Roman" w:cs="Times New Roman"/>
          <w:i/>
          <w:iCs/>
          <w:color w:val="000000"/>
          <w:sz w:val="20"/>
          <w:szCs w:val="20"/>
          <w:lang w:val="uk-UA" w:eastAsia="ru-RU"/>
        </w:rPr>
        <w:t>Z </w:t>
      </w:r>
      <w:r w:rsidRPr="005315FD">
        <w:rPr>
          <w:rFonts w:ascii="Times New Roman" w:eastAsia="Times New Roman" w:hAnsi="Times New Roman" w:cs="Times New Roman"/>
          <w:i/>
          <w:iCs/>
          <w:color w:val="000000"/>
          <w:sz w:val="20"/>
          <w:szCs w:val="20"/>
          <w:vertAlign w:val="subscript"/>
          <w:lang w:val="uk-UA" w:eastAsia="ru-RU"/>
        </w:rPr>
        <w:t xml:space="preserve">i </w:t>
      </w:r>
      <w:proofErr w:type="spellStart"/>
      <w:r w:rsidRPr="005315FD">
        <w:rPr>
          <w:rFonts w:ascii="Times New Roman" w:eastAsia="Times New Roman" w:hAnsi="Times New Roman" w:cs="Times New Roman"/>
          <w:i/>
          <w:iCs/>
          <w:color w:val="000000"/>
          <w:sz w:val="20"/>
          <w:szCs w:val="20"/>
          <w:vertAlign w:val="subscript"/>
          <w:lang w:val="uk-UA" w:eastAsia="ru-RU"/>
        </w:rPr>
        <w:t>min</w:t>
      </w:r>
      <w:r w:rsidRPr="005315FD">
        <w:rPr>
          <w:rFonts w:ascii="Times New Roman" w:eastAsia="Times New Roman" w:hAnsi="Times New Roman" w:cs="Times New Roman"/>
          <w:i/>
          <w:iCs/>
          <w:color w:val="000000"/>
          <w:sz w:val="20"/>
          <w:szCs w:val="20"/>
          <w:lang w:val="uk-UA" w:eastAsia="ru-RU"/>
        </w:rPr>
        <w:t> – </w:t>
      </w:r>
      <w:r w:rsidRPr="005315FD">
        <w:rPr>
          <w:rFonts w:ascii="Times New Roman" w:eastAsia="Times New Roman" w:hAnsi="Times New Roman" w:cs="Times New Roman"/>
          <w:color w:val="000000"/>
          <w:sz w:val="20"/>
          <w:szCs w:val="20"/>
          <w:lang w:val="uk-UA" w:eastAsia="ru-RU"/>
        </w:rPr>
        <w:t>мініма</w:t>
      </w:r>
      <w:proofErr w:type="spellEnd"/>
      <w:r w:rsidRPr="005315FD">
        <w:rPr>
          <w:rFonts w:ascii="Times New Roman" w:eastAsia="Times New Roman" w:hAnsi="Times New Roman" w:cs="Times New Roman"/>
          <w:color w:val="000000"/>
          <w:sz w:val="20"/>
          <w:szCs w:val="20"/>
          <w:lang w:val="uk-UA" w:eastAsia="ru-RU"/>
        </w:rPr>
        <w:t>льне значення </w:t>
      </w:r>
      <w:r w:rsidRPr="005315FD">
        <w:rPr>
          <w:rFonts w:ascii="Times New Roman" w:eastAsia="Times New Roman" w:hAnsi="Times New Roman" w:cs="Times New Roman"/>
          <w:i/>
          <w:iCs/>
          <w:color w:val="000000"/>
          <w:sz w:val="20"/>
          <w:szCs w:val="20"/>
          <w:lang w:val="uk-UA" w:eastAsia="ru-RU"/>
        </w:rPr>
        <w:t>і</w:t>
      </w:r>
      <w:r w:rsidRPr="005315FD">
        <w:rPr>
          <w:rFonts w:ascii="Times New Roman" w:eastAsia="Times New Roman" w:hAnsi="Times New Roman" w:cs="Times New Roman"/>
          <w:color w:val="000000"/>
          <w:sz w:val="20"/>
          <w:szCs w:val="20"/>
          <w:lang w:val="uk-UA" w:eastAsia="ru-RU"/>
        </w:rPr>
        <w:t>-го показника.</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 xml:space="preserve">Разом з тим, для нормування </w:t>
      </w:r>
      <w:proofErr w:type="spellStart"/>
      <w:r w:rsidRPr="005315FD">
        <w:rPr>
          <w:rFonts w:ascii="Times New Roman" w:eastAsia="Times New Roman" w:hAnsi="Times New Roman" w:cs="Times New Roman"/>
          <w:color w:val="000000"/>
          <w:sz w:val="20"/>
          <w:szCs w:val="20"/>
          <w:lang w:val="uk-UA" w:eastAsia="ru-RU"/>
        </w:rPr>
        <w:t>показників-дестимуляторів</w:t>
      </w:r>
      <w:proofErr w:type="spellEnd"/>
      <w:r w:rsidRPr="005315FD">
        <w:rPr>
          <w:rFonts w:ascii="Times New Roman" w:eastAsia="Times New Roman" w:hAnsi="Times New Roman" w:cs="Times New Roman"/>
          <w:color w:val="000000"/>
          <w:sz w:val="20"/>
          <w:szCs w:val="20"/>
          <w:lang w:val="uk-UA" w:eastAsia="ru-RU"/>
        </w:rPr>
        <w:t>, зростання яких призводить до зменшення індикатора забезпечення ефективної мотивації праці, доцільно використовувати формулу:</w:t>
      </w:r>
    </w:p>
    <w:p w:rsidR="005315FD" w:rsidRPr="005315FD" w:rsidRDefault="005315FD" w:rsidP="005315FD">
      <w:pPr>
        <w:spacing w:after="0" w:line="240" w:lineRule="auto"/>
        <w:jc w:val="center"/>
        <w:rPr>
          <w:rFonts w:ascii="Times New Roman" w:eastAsia="Times New Roman" w:hAnsi="Times New Roman" w:cs="Times New Roman"/>
          <w:color w:val="000000"/>
          <w:sz w:val="20"/>
          <w:szCs w:val="20"/>
          <w:lang w:eastAsia="ru-RU"/>
        </w:rPr>
      </w:pPr>
      <w:r>
        <w:rPr>
          <w:noProof/>
          <w:lang w:eastAsia="ru-RU"/>
        </w:rPr>
        <w:drawing>
          <wp:inline distT="0" distB="0" distL="0" distR="0" wp14:anchorId="4B6700EA" wp14:editId="59721E82">
            <wp:extent cx="1104900" cy="523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04900" cy="523875"/>
                    </a:xfrm>
                    <a:prstGeom prst="rect">
                      <a:avLst/>
                    </a:prstGeom>
                  </pic:spPr>
                </pic:pic>
              </a:graphicData>
            </a:graphic>
          </wp:inline>
        </w:drawing>
      </w:r>
      <w:r w:rsidRPr="005315FD">
        <w:rPr>
          <w:rFonts w:ascii="Times New Roman" w:eastAsia="Times New Roman" w:hAnsi="Times New Roman" w:cs="Times New Roman"/>
          <w:b/>
          <w:bCs/>
          <w:i/>
          <w:iCs/>
          <w:color w:val="000000"/>
          <w:sz w:val="20"/>
          <w:szCs w:val="20"/>
          <w:vertAlign w:val="subscript"/>
          <w:lang w:val="uk-UA" w:eastAsia="ru-RU"/>
        </w:rPr>
        <w:t> </w:t>
      </w:r>
      <w:r w:rsidRPr="005315FD">
        <w:rPr>
          <w:rFonts w:ascii="Times New Roman" w:eastAsia="Times New Roman" w:hAnsi="Times New Roman" w:cs="Times New Roman"/>
          <w:b/>
          <w:bCs/>
          <w:i/>
          <w:iCs/>
          <w:color w:val="000000"/>
          <w:sz w:val="20"/>
          <w:szCs w:val="20"/>
          <w:lang w:val="uk-UA" w:eastAsia="ru-RU"/>
        </w:rPr>
        <w:t>                                        </w:t>
      </w:r>
      <w:r w:rsidRPr="005315FD">
        <w:rPr>
          <w:rFonts w:ascii="Times New Roman" w:eastAsia="Times New Roman" w:hAnsi="Times New Roman" w:cs="Times New Roman"/>
          <w:color w:val="000000"/>
          <w:sz w:val="20"/>
          <w:szCs w:val="20"/>
          <w:lang w:val="uk-UA" w:eastAsia="ru-RU"/>
        </w:rPr>
        <w:t>(2)</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 xml:space="preserve">Високий рейтинг підприємства за нормованим </w:t>
      </w:r>
      <w:proofErr w:type="spellStart"/>
      <w:r w:rsidRPr="005315FD">
        <w:rPr>
          <w:rFonts w:ascii="Times New Roman" w:eastAsia="Times New Roman" w:hAnsi="Times New Roman" w:cs="Times New Roman"/>
          <w:color w:val="000000"/>
          <w:sz w:val="20"/>
          <w:szCs w:val="20"/>
          <w:lang w:val="uk-UA" w:eastAsia="ru-RU"/>
        </w:rPr>
        <w:t>показником-дестимулятором</w:t>
      </w:r>
      <w:proofErr w:type="spellEnd"/>
      <w:r w:rsidRPr="005315FD">
        <w:rPr>
          <w:rFonts w:ascii="Times New Roman" w:eastAsia="Times New Roman" w:hAnsi="Times New Roman" w:cs="Times New Roman"/>
          <w:color w:val="000000"/>
          <w:sz w:val="20"/>
          <w:szCs w:val="20"/>
          <w:lang w:val="uk-UA" w:eastAsia="ru-RU"/>
        </w:rPr>
        <w:t xml:space="preserve"> свідчить про превалювання позитивних тенденцій забезпечення ефектив</w:t>
      </w:r>
      <w:r w:rsidRPr="005315FD">
        <w:rPr>
          <w:rFonts w:ascii="Times New Roman" w:eastAsia="Times New Roman" w:hAnsi="Times New Roman" w:cs="Times New Roman"/>
          <w:color w:val="000000"/>
          <w:sz w:val="20"/>
          <w:szCs w:val="20"/>
          <w:lang w:val="uk-UA" w:eastAsia="ru-RU"/>
        </w:rPr>
        <w:softHyphen/>
        <w:t>ної мотивації праці в районі, тоді як збереження високого рівня показника-стимулятора діє у протилежному напрямку.</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 xml:space="preserve">Для розрахунку часткового </w:t>
      </w:r>
      <w:proofErr w:type="spellStart"/>
      <w:r w:rsidRPr="005315FD">
        <w:rPr>
          <w:rFonts w:ascii="Times New Roman" w:eastAsia="Times New Roman" w:hAnsi="Times New Roman" w:cs="Times New Roman"/>
          <w:color w:val="000000"/>
          <w:sz w:val="20"/>
          <w:szCs w:val="20"/>
          <w:lang w:val="uk-UA" w:eastAsia="ru-RU"/>
        </w:rPr>
        <w:t>інд</w:t>
      </w:r>
      <w:proofErr w:type="spellEnd"/>
      <w:r w:rsidRPr="005315FD">
        <w:rPr>
          <w:rFonts w:ascii="Times New Roman" w:eastAsia="Times New Roman" w:hAnsi="Times New Roman" w:cs="Times New Roman"/>
          <w:color w:val="000000"/>
          <w:sz w:val="20"/>
          <w:szCs w:val="20"/>
          <w:lang w:val="uk-UA" w:eastAsia="ru-RU"/>
        </w:rPr>
        <w:t>ексу </w:t>
      </w:r>
      <w:r w:rsidRPr="005315FD">
        <w:rPr>
          <w:rFonts w:ascii="Times New Roman" w:eastAsia="Times New Roman" w:hAnsi="Times New Roman" w:cs="Times New Roman"/>
          <w:i/>
          <w:iCs/>
          <w:color w:val="000000"/>
          <w:sz w:val="20"/>
          <w:szCs w:val="20"/>
          <w:lang w:val="uk-UA" w:eastAsia="ru-RU"/>
        </w:rPr>
        <w:t>i</w:t>
      </w:r>
      <w:r w:rsidRPr="005315FD">
        <w:rPr>
          <w:rFonts w:ascii="Times New Roman" w:eastAsia="Times New Roman" w:hAnsi="Times New Roman" w:cs="Times New Roman"/>
          <w:i/>
          <w:iCs/>
          <w:color w:val="000000"/>
          <w:sz w:val="20"/>
          <w:szCs w:val="20"/>
          <w:vertAlign w:val="subscript"/>
          <w:lang w:val="uk-UA" w:eastAsia="ru-RU"/>
        </w:rPr>
        <w:t>ij,</w:t>
      </w:r>
      <w:r w:rsidRPr="005315FD">
        <w:rPr>
          <w:rFonts w:ascii="Times New Roman" w:eastAsia="Times New Roman" w:hAnsi="Times New Roman" w:cs="Times New Roman"/>
          <w:b/>
          <w:bCs/>
          <w:i/>
          <w:iCs/>
          <w:color w:val="000000"/>
          <w:sz w:val="20"/>
          <w:szCs w:val="20"/>
          <w:vertAlign w:val="subscript"/>
          <w:lang w:val="uk-UA" w:eastAsia="ru-RU"/>
        </w:rPr>
        <w:t> </w:t>
      </w:r>
      <w:r w:rsidRPr="005315FD">
        <w:rPr>
          <w:rFonts w:ascii="Times New Roman" w:eastAsia="Times New Roman" w:hAnsi="Times New Roman" w:cs="Times New Roman"/>
          <w:color w:val="000000"/>
          <w:sz w:val="20"/>
          <w:szCs w:val="20"/>
          <w:lang w:val="uk-UA" w:eastAsia="ru-RU"/>
        </w:rPr>
        <w:t>який характеризує </w:t>
      </w:r>
      <w:r w:rsidRPr="005315FD">
        <w:rPr>
          <w:rFonts w:ascii="Times New Roman" w:eastAsia="Times New Roman" w:hAnsi="Times New Roman" w:cs="Times New Roman"/>
          <w:i/>
          <w:iCs/>
          <w:color w:val="000000"/>
          <w:sz w:val="20"/>
          <w:szCs w:val="20"/>
          <w:lang w:val="uk-UA" w:eastAsia="ru-RU"/>
        </w:rPr>
        <w:t>i</w:t>
      </w:r>
      <w:r w:rsidRPr="005315FD">
        <w:rPr>
          <w:rFonts w:ascii="Times New Roman" w:eastAsia="Times New Roman" w:hAnsi="Times New Roman" w:cs="Times New Roman"/>
          <w:color w:val="000000"/>
          <w:sz w:val="20"/>
          <w:szCs w:val="20"/>
          <w:lang w:val="uk-UA" w:eastAsia="ru-RU"/>
        </w:rPr>
        <w:t>-й аспект забезпечення ефективної мотивації праці у </w:t>
      </w:r>
      <w:r w:rsidRPr="005315FD">
        <w:rPr>
          <w:rFonts w:ascii="Times New Roman" w:eastAsia="Times New Roman" w:hAnsi="Times New Roman" w:cs="Times New Roman"/>
          <w:i/>
          <w:iCs/>
          <w:color w:val="000000"/>
          <w:sz w:val="20"/>
          <w:szCs w:val="20"/>
          <w:lang w:val="uk-UA" w:eastAsia="ru-RU"/>
        </w:rPr>
        <w:t>j</w:t>
      </w:r>
      <w:r w:rsidRPr="005315FD">
        <w:rPr>
          <w:rFonts w:ascii="Times New Roman" w:eastAsia="Times New Roman" w:hAnsi="Times New Roman" w:cs="Times New Roman"/>
          <w:color w:val="000000"/>
          <w:sz w:val="20"/>
          <w:szCs w:val="20"/>
          <w:lang w:val="uk-UA" w:eastAsia="ru-RU"/>
        </w:rPr>
        <w:t>-му регіоні, може бути використана формула:</w:t>
      </w:r>
      <w:r w:rsidRPr="005315FD">
        <w:rPr>
          <w:rFonts w:ascii="Times New Roman" w:eastAsia="Times New Roman" w:hAnsi="Times New Roman" w:cs="Times New Roman"/>
          <w:i/>
          <w:iCs/>
          <w:color w:val="000000"/>
          <w:sz w:val="20"/>
          <w:szCs w:val="20"/>
          <w:lang w:val="uk-UA" w:eastAsia="ru-RU"/>
        </w:rPr>
        <w:t>  </w:t>
      </w:r>
    </w:p>
    <w:p w:rsidR="005315FD" w:rsidRPr="005315FD" w:rsidRDefault="005315FD" w:rsidP="005315FD">
      <w:pPr>
        <w:spacing w:after="0" w:line="240" w:lineRule="auto"/>
        <w:jc w:val="both"/>
        <w:rPr>
          <w:rFonts w:ascii="Times New Roman" w:eastAsia="Times New Roman" w:hAnsi="Times New Roman" w:cs="Times New Roman"/>
          <w:color w:val="000000"/>
          <w:sz w:val="20"/>
          <w:szCs w:val="20"/>
          <w:lang w:val="uk-UA" w:eastAsia="ru-RU"/>
        </w:rPr>
      </w:pPr>
      <w:r w:rsidRPr="005315FD">
        <w:rPr>
          <w:rFonts w:ascii="Times New Roman" w:eastAsia="Times New Roman" w:hAnsi="Times New Roman" w:cs="Times New Roman"/>
          <w:b/>
          <w:bCs/>
          <w:i/>
          <w:iCs/>
          <w:color w:val="000000"/>
          <w:sz w:val="20"/>
          <w:szCs w:val="20"/>
          <w:lang w:val="uk-UA" w:eastAsia="ru-RU"/>
        </w:rPr>
        <w:t>                       </w:t>
      </w:r>
      <w:r>
        <w:rPr>
          <w:rFonts w:ascii="Times New Roman" w:eastAsia="Times New Roman" w:hAnsi="Times New Roman" w:cs="Times New Roman"/>
          <w:i/>
          <w:iCs/>
          <w:color w:val="000000"/>
          <w:sz w:val="20"/>
          <w:szCs w:val="20"/>
          <w:lang w:val="en-US" w:eastAsia="ru-RU"/>
        </w:rPr>
        <w:t xml:space="preserve">                                </w:t>
      </w:r>
      <w:r>
        <w:rPr>
          <w:noProof/>
          <w:lang w:eastAsia="ru-RU"/>
        </w:rPr>
        <w:drawing>
          <wp:inline distT="0" distB="0" distL="0" distR="0" wp14:anchorId="16C23FA4" wp14:editId="35102EB3">
            <wp:extent cx="10287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8700" cy="476250"/>
                    </a:xfrm>
                    <a:prstGeom prst="rect">
                      <a:avLst/>
                    </a:prstGeom>
                  </pic:spPr>
                </pic:pic>
              </a:graphicData>
            </a:graphic>
          </wp:inline>
        </w:drawing>
      </w:r>
      <w:r w:rsidRPr="005315FD">
        <w:rPr>
          <w:rFonts w:ascii="Times New Roman" w:eastAsia="Times New Roman" w:hAnsi="Times New Roman" w:cs="Times New Roman"/>
          <w:b/>
          <w:bCs/>
          <w:color w:val="000000"/>
          <w:sz w:val="20"/>
          <w:szCs w:val="20"/>
          <w:lang w:val="uk-UA" w:eastAsia="ru-RU"/>
        </w:rPr>
        <w:t>                                    </w:t>
      </w:r>
      <w:r w:rsidRPr="005315FD">
        <w:rPr>
          <w:rFonts w:ascii="Times New Roman" w:eastAsia="Times New Roman" w:hAnsi="Times New Roman" w:cs="Times New Roman"/>
          <w:color w:val="000000"/>
          <w:sz w:val="20"/>
          <w:szCs w:val="20"/>
          <w:lang w:val="uk-UA" w:eastAsia="ru-RU"/>
        </w:rPr>
        <w:t>(3)</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val="uk-UA" w:eastAsia="ru-RU"/>
        </w:rPr>
      </w:pPr>
      <w:proofErr w:type="spellStart"/>
      <w:r w:rsidRPr="005315FD">
        <w:rPr>
          <w:rFonts w:ascii="Times New Roman" w:eastAsia="Times New Roman" w:hAnsi="Times New Roman" w:cs="Times New Roman"/>
          <w:color w:val="000000"/>
          <w:sz w:val="20"/>
          <w:szCs w:val="20"/>
          <w:lang w:val="uk-UA" w:eastAsia="ru-RU"/>
        </w:rPr>
        <w:t>де </w:t>
      </w:r>
      <w:r w:rsidRPr="005315FD">
        <w:rPr>
          <w:rFonts w:ascii="Symbol" w:eastAsia="Times New Roman" w:hAnsi="Symbol" w:cs="Times New Roman"/>
          <w:i/>
          <w:iCs/>
          <w:color w:val="000000"/>
          <w:sz w:val="20"/>
          <w:szCs w:val="20"/>
          <w:lang w:val="uk-UA" w:eastAsia="ru-RU"/>
        </w:rPr>
        <w:t></w:t>
      </w:r>
      <w:r w:rsidRPr="005315FD">
        <w:rPr>
          <w:rFonts w:ascii="Times New Roman" w:eastAsia="Times New Roman" w:hAnsi="Times New Roman" w:cs="Times New Roman"/>
          <w:i/>
          <w:iCs/>
          <w:color w:val="000000"/>
          <w:sz w:val="20"/>
          <w:szCs w:val="20"/>
          <w:vertAlign w:val="subscript"/>
          <w:lang w:val="uk-UA" w:eastAsia="ru-RU"/>
        </w:rPr>
        <w:t>і  </w:t>
      </w:r>
      <w:r w:rsidRPr="005315FD">
        <w:rPr>
          <w:rFonts w:ascii="Times New Roman" w:eastAsia="Times New Roman" w:hAnsi="Times New Roman" w:cs="Times New Roman"/>
          <w:i/>
          <w:iCs/>
          <w:color w:val="000000"/>
          <w:sz w:val="20"/>
          <w:szCs w:val="20"/>
          <w:lang w:val="uk-UA" w:eastAsia="ru-RU"/>
        </w:rPr>
        <w:t>– </w:t>
      </w:r>
      <w:r w:rsidRPr="005315FD">
        <w:rPr>
          <w:rFonts w:ascii="Times New Roman" w:eastAsia="Times New Roman" w:hAnsi="Times New Roman" w:cs="Times New Roman"/>
          <w:color w:val="000000"/>
          <w:sz w:val="20"/>
          <w:szCs w:val="20"/>
          <w:lang w:val="uk-UA" w:eastAsia="ru-RU"/>
        </w:rPr>
        <w:t>ваго</w:t>
      </w:r>
      <w:proofErr w:type="spellEnd"/>
      <w:r w:rsidRPr="005315FD">
        <w:rPr>
          <w:rFonts w:ascii="Times New Roman" w:eastAsia="Times New Roman" w:hAnsi="Times New Roman" w:cs="Times New Roman"/>
          <w:color w:val="000000"/>
          <w:sz w:val="20"/>
          <w:szCs w:val="20"/>
          <w:lang w:val="uk-UA" w:eastAsia="ru-RU"/>
        </w:rPr>
        <w:t xml:space="preserve">вий коефіцієнт для окремого </w:t>
      </w:r>
      <w:proofErr w:type="spellStart"/>
      <w:r w:rsidRPr="005315FD">
        <w:rPr>
          <w:rFonts w:ascii="Times New Roman" w:eastAsia="Times New Roman" w:hAnsi="Times New Roman" w:cs="Times New Roman"/>
          <w:color w:val="000000"/>
          <w:sz w:val="20"/>
          <w:szCs w:val="20"/>
          <w:lang w:val="uk-UA" w:eastAsia="ru-RU"/>
        </w:rPr>
        <w:t>пок</w:t>
      </w:r>
      <w:proofErr w:type="spellEnd"/>
      <w:r w:rsidRPr="005315FD">
        <w:rPr>
          <w:rFonts w:ascii="Times New Roman" w:eastAsia="Times New Roman" w:hAnsi="Times New Roman" w:cs="Times New Roman"/>
          <w:color w:val="000000"/>
          <w:sz w:val="20"/>
          <w:szCs w:val="20"/>
          <w:lang w:val="uk-UA" w:eastAsia="ru-RU"/>
        </w:rPr>
        <w:t>азника </w:t>
      </w:r>
      <w:r w:rsidRPr="005315FD">
        <w:rPr>
          <w:rFonts w:ascii="Times New Roman" w:eastAsia="Times New Roman" w:hAnsi="Times New Roman" w:cs="Times New Roman"/>
          <w:i/>
          <w:iCs/>
          <w:color w:val="000000"/>
          <w:sz w:val="20"/>
          <w:szCs w:val="20"/>
          <w:lang w:val="uk-UA" w:eastAsia="ru-RU"/>
        </w:rPr>
        <w:t>Y</w:t>
      </w:r>
      <w:r w:rsidRPr="005315FD">
        <w:rPr>
          <w:rFonts w:ascii="Times New Roman" w:eastAsia="Times New Roman" w:hAnsi="Times New Roman" w:cs="Times New Roman"/>
          <w:i/>
          <w:iCs/>
          <w:color w:val="000000"/>
          <w:sz w:val="20"/>
          <w:szCs w:val="20"/>
          <w:vertAlign w:val="subscript"/>
          <w:lang w:val="uk-UA" w:eastAsia="ru-RU"/>
        </w:rPr>
        <w:t>ij</w:t>
      </w:r>
      <w:r w:rsidRPr="005315FD">
        <w:rPr>
          <w:rFonts w:ascii="Times New Roman" w:eastAsia="Times New Roman" w:hAnsi="Times New Roman" w:cs="Times New Roman"/>
          <w:color w:val="000000"/>
          <w:sz w:val="20"/>
          <w:szCs w:val="20"/>
          <w:lang w:val="uk-UA" w:eastAsia="ru-RU"/>
        </w:rPr>
        <w:t>, який характеризує </w:t>
      </w:r>
      <w:r w:rsidRPr="005315FD">
        <w:rPr>
          <w:rFonts w:ascii="Times New Roman" w:eastAsia="Times New Roman" w:hAnsi="Times New Roman" w:cs="Times New Roman"/>
          <w:i/>
          <w:iCs/>
          <w:color w:val="000000"/>
          <w:sz w:val="20"/>
          <w:szCs w:val="20"/>
          <w:lang w:val="uk-UA" w:eastAsia="ru-RU"/>
        </w:rPr>
        <w:t>i</w:t>
      </w:r>
      <w:r w:rsidRPr="005315FD">
        <w:rPr>
          <w:rFonts w:ascii="Times New Roman" w:eastAsia="Times New Roman" w:hAnsi="Times New Roman" w:cs="Times New Roman"/>
          <w:color w:val="000000"/>
          <w:sz w:val="20"/>
          <w:szCs w:val="20"/>
          <w:lang w:val="uk-UA" w:eastAsia="ru-RU"/>
        </w:rPr>
        <w:t>-й аспект забезпечення ефективної мотивації праці;</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 </w:t>
      </w:r>
      <w:r w:rsidRPr="005315FD">
        <w:rPr>
          <w:rFonts w:ascii="Times New Roman" w:eastAsia="Times New Roman" w:hAnsi="Times New Roman" w:cs="Times New Roman"/>
          <w:i/>
          <w:iCs/>
          <w:color w:val="000000"/>
          <w:sz w:val="20"/>
          <w:szCs w:val="20"/>
          <w:lang w:val="uk-UA" w:eastAsia="ru-RU"/>
        </w:rPr>
        <w:t>Y</w:t>
      </w:r>
      <w:r w:rsidRPr="005315FD">
        <w:rPr>
          <w:rFonts w:ascii="Times New Roman" w:eastAsia="Times New Roman" w:hAnsi="Times New Roman" w:cs="Times New Roman"/>
          <w:i/>
          <w:iCs/>
          <w:color w:val="000000"/>
          <w:sz w:val="20"/>
          <w:szCs w:val="20"/>
          <w:vertAlign w:val="subscript"/>
          <w:lang w:val="uk-UA" w:eastAsia="ru-RU"/>
        </w:rPr>
        <w:t>i </w:t>
      </w:r>
      <w:r w:rsidRPr="005315FD">
        <w:rPr>
          <w:rFonts w:ascii="Times New Roman" w:eastAsia="Times New Roman" w:hAnsi="Times New Roman" w:cs="Times New Roman"/>
          <w:color w:val="000000"/>
          <w:sz w:val="20"/>
          <w:szCs w:val="20"/>
          <w:lang w:val="uk-UA" w:eastAsia="ru-RU"/>
        </w:rPr>
        <w:t>– нормований по</w:t>
      </w:r>
      <w:proofErr w:type="spellStart"/>
      <w:r w:rsidRPr="005315FD">
        <w:rPr>
          <w:rFonts w:ascii="Times New Roman" w:eastAsia="Times New Roman" w:hAnsi="Times New Roman" w:cs="Times New Roman"/>
          <w:color w:val="000000"/>
          <w:sz w:val="20"/>
          <w:szCs w:val="20"/>
          <w:lang w:val="uk-UA" w:eastAsia="ru-RU"/>
        </w:rPr>
        <w:t>ка</w:t>
      </w:r>
      <w:proofErr w:type="spellEnd"/>
      <w:r w:rsidRPr="005315FD">
        <w:rPr>
          <w:rFonts w:ascii="Times New Roman" w:eastAsia="Times New Roman" w:hAnsi="Times New Roman" w:cs="Times New Roman"/>
          <w:color w:val="000000"/>
          <w:sz w:val="20"/>
          <w:szCs w:val="20"/>
          <w:lang w:val="uk-UA" w:eastAsia="ru-RU"/>
        </w:rPr>
        <w:t>зник </w:t>
      </w:r>
      <w:r w:rsidRPr="005315FD">
        <w:rPr>
          <w:rFonts w:ascii="Times New Roman" w:eastAsia="Times New Roman" w:hAnsi="Times New Roman" w:cs="Times New Roman"/>
          <w:i/>
          <w:iCs/>
          <w:color w:val="000000"/>
          <w:sz w:val="20"/>
          <w:szCs w:val="20"/>
          <w:lang w:val="uk-UA" w:eastAsia="ru-RU"/>
        </w:rPr>
        <w:t>i</w:t>
      </w:r>
      <w:r w:rsidRPr="005315FD">
        <w:rPr>
          <w:rFonts w:ascii="Times New Roman" w:eastAsia="Times New Roman" w:hAnsi="Times New Roman" w:cs="Times New Roman"/>
          <w:color w:val="000000"/>
          <w:sz w:val="20"/>
          <w:szCs w:val="20"/>
          <w:lang w:val="uk-UA" w:eastAsia="ru-RU"/>
        </w:rPr>
        <w:t>-го аспекту забезпечення ефективної мотивації праці;</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val="uk-UA" w:eastAsia="ru-RU"/>
        </w:rPr>
      </w:pPr>
      <w:proofErr w:type="spellStart"/>
      <w:r w:rsidRPr="005315FD">
        <w:rPr>
          <w:rFonts w:ascii="Times New Roman" w:eastAsia="Times New Roman" w:hAnsi="Times New Roman" w:cs="Times New Roman"/>
          <w:b/>
          <w:bCs/>
          <w:i/>
          <w:iCs/>
          <w:color w:val="000000"/>
          <w:sz w:val="20"/>
          <w:szCs w:val="20"/>
          <w:lang w:val="uk-UA" w:eastAsia="ru-RU"/>
        </w:rPr>
        <w:t> </w:t>
      </w:r>
      <w:r w:rsidRPr="005315FD">
        <w:rPr>
          <w:rFonts w:ascii="Times New Roman" w:eastAsia="Times New Roman" w:hAnsi="Times New Roman" w:cs="Times New Roman"/>
          <w:i/>
          <w:iCs/>
          <w:color w:val="000000"/>
          <w:sz w:val="20"/>
          <w:szCs w:val="20"/>
          <w:lang w:val="uk-UA" w:eastAsia="ru-RU"/>
        </w:rPr>
        <w:t>n </w:t>
      </w:r>
      <w:r w:rsidRPr="005315FD">
        <w:rPr>
          <w:rFonts w:ascii="Times New Roman" w:eastAsia="Times New Roman" w:hAnsi="Times New Roman" w:cs="Times New Roman"/>
          <w:color w:val="000000"/>
          <w:sz w:val="20"/>
          <w:szCs w:val="20"/>
          <w:lang w:val="uk-UA" w:eastAsia="ru-RU"/>
        </w:rPr>
        <w:t>– кількі</w:t>
      </w:r>
      <w:proofErr w:type="spellEnd"/>
      <w:r w:rsidRPr="005315FD">
        <w:rPr>
          <w:rFonts w:ascii="Times New Roman" w:eastAsia="Times New Roman" w:hAnsi="Times New Roman" w:cs="Times New Roman"/>
          <w:color w:val="000000"/>
          <w:sz w:val="20"/>
          <w:szCs w:val="20"/>
          <w:lang w:val="uk-UA" w:eastAsia="ru-RU"/>
        </w:rPr>
        <w:t>сть показників, що характеризують </w:t>
      </w:r>
      <w:r w:rsidRPr="005315FD">
        <w:rPr>
          <w:rFonts w:ascii="Times New Roman" w:eastAsia="Times New Roman" w:hAnsi="Times New Roman" w:cs="Times New Roman"/>
          <w:i/>
          <w:iCs/>
          <w:color w:val="000000"/>
          <w:sz w:val="20"/>
          <w:szCs w:val="20"/>
          <w:lang w:val="uk-UA" w:eastAsia="ru-RU"/>
        </w:rPr>
        <w:t>і</w:t>
      </w:r>
      <w:r w:rsidRPr="005315FD">
        <w:rPr>
          <w:rFonts w:ascii="Times New Roman" w:eastAsia="Times New Roman" w:hAnsi="Times New Roman" w:cs="Times New Roman"/>
          <w:color w:val="000000"/>
          <w:sz w:val="20"/>
          <w:szCs w:val="20"/>
          <w:lang w:val="uk-UA" w:eastAsia="ru-RU"/>
        </w:rPr>
        <w:t>-й аспект забезпечення ефективної мотивації праці.</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4"/>
          <w:szCs w:val="24"/>
          <w:lang w:val="uk-UA" w:eastAsia="ru-RU"/>
        </w:rPr>
      </w:pPr>
      <w:r w:rsidRPr="005315FD">
        <w:rPr>
          <w:rFonts w:ascii="Times New Roman" w:eastAsia="Times New Roman" w:hAnsi="Times New Roman" w:cs="Times New Roman"/>
          <w:color w:val="000000"/>
          <w:sz w:val="20"/>
          <w:szCs w:val="20"/>
          <w:lang w:val="uk-UA" w:eastAsia="ru-RU"/>
        </w:rPr>
        <w:t xml:space="preserve">Наступним етапом аналізу виступає розрахунок інтегрального індикатору забезпечення ефективної мотивації </w:t>
      </w:r>
      <w:proofErr w:type="spellStart"/>
      <w:r w:rsidRPr="005315FD">
        <w:rPr>
          <w:rFonts w:ascii="Times New Roman" w:eastAsia="Times New Roman" w:hAnsi="Times New Roman" w:cs="Times New Roman"/>
          <w:color w:val="000000"/>
          <w:sz w:val="20"/>
          <w:szCs w:val="20"/>
          <w:lang w:val="uk-UA" w:eastAsia="ru-RU"/>
        </w:rPr>
        <w:t>пр</w:t>
      </w:r>
      <w:proofErr w:type="spellEnd"/>
      <w:r w:rsidRPr="005315FD">
        <w:rPr>
          <w:rFonts w:ascii="Times New Roman" w:eastAsia="Times New Roman" w:hAnsi="Times New Roman" w:cs="Times New Roman"/>
          <w:color w:val="000000"/>
          <w:sz w:val="20"/>
          <w:szCs w:val="20"/>
          <w:lang w:val="uk-UA" w:eastAsia="ru-RU"/>
        </w:rPr>
        <w:t>аці </w:t>
      </w:r>
      <w:r w:rsidRPr="005315FD">
        <w:rPr>
          <w:rFonts w:ascii="Times New Roman" w:eastAsia="Times New Roman" w:hAnsi="Times New Roman" w:cs="Times New Roman"/>
          <w:i/>
          <w:iCs/>
          <w:color w:val="000000"/>
          <w:sz w:val="20"/>
          <w:szCs w:val="20"/>
          <w:lang w:val="uk-UA" w:eastAsia="ru-RU"/>
        </w:rPr>
        <w:t>I</w:t>
      </w:r>
      <w:r w:rsidRPr="005315FD">
        <w:rPr>
          <w:rFonts w:ascii="Times New Roman" w:eastAsia="Times New Roman" w:hAnsi="Times New Roman" w:cs="Times New Roman"/>
          <w:i/>
          <w:iCs/>
          <w:color w:val="000000"/>
          <w:sz w:val="20"/>
          <w:szCs w:val="20"/>
          <w:vertAlign w:val="subscript"/>
          <w:lang w:val="uk-UA" w:eastAsia="ru-RU"/>
        </w:rPr>
        <w:t>i</w:t>
      </w:r>
      <w:r w:rsidRPr="005315FD">
        <w:rPr>
          <w:rFonts w:ascii="Times New Roman" w:eastAsia="Times New Roman" w:hAnsi="Times New Roman" w:cs="Times New Roman"/>
          <w:color w:val="000000"/>
          <w:sz w:val="20"/>
          <w:szCs w:val="20"/>
          <w:lang w:val="uk-UA" w:eastAsia="ru-RU"/>
        </w:rPr>
        <w:t>, який обраховується на основі узагальнюючих індексів окремих його аспектів, значення вагових коефіцієнтів для кожного з яких обраховуються за аналогічною формулою.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4"/>
          <w:szCs w:val="24"/>
          <w:lang w:eastAsia="ru-RU"/>
        </w:rPr>
      </w:pPr>
      <w:r w:rsidRPr="005315FD">
        <w:rPr>
          <w:rFonts w:ascii="Times New Roman" w:eastAsia="Times New Roman" w:hAnsi="Times New Roman" w:cs="Times New Roman"/>
          <w:color w:val="000000"/>
          <w:sz w:val="20"/>
          <w:szCs w:val="20"/>
          <w:lang w:val="uk-UA" w:eastAsia="ru-RU"/>
        </w:rPr>
        <w:t>При цьому необхідно відзначити, що за умов застосування факторного аналізу для побудови узагальнюючих індексів доцільним є розрахунок ваг за факторними навантаженнями. Знаходження ваг, за умов використання цього методу, застосовується для визначення внеску кожного фактору до загальної дисперсії.</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4"/>
          <w:szCs w:val="24"/>
          <w:lang w:val="uk-UA" w:eastAsia="ru-RU"/>
        </w:rPr>
      </w:pPr>
      <w:r w:rsidRPr="005315FD">
        <w:rPr>
          <w:rFonts w:ascii="Times New Roman" w:eastAsia="Times New Roman" w:hAnsi="Times New Roman" w:cs="Times New Roman"/>
          <w:color w:val="000000"/>
          <w:sz w:val="20"/>
          <w:szCs w:val="20"/>
          <w:lang w:val="uk-UA" w:eastAsia="ru-RU"/>
        </w:rPr>
        <w:t>Завершальним етапом дослідження забезпечення ефективної мотивації праці виступає здійснення системного аналізу проблеми на рівні регіону. Загалом, кожний з показників системи, відіграючи важливу самостійну роль, виступає невід’ємною складовою формування узагальнюючого показника.</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 xml:space="preserve">Високий рейтинг району за нормованим </w:t>
      </w:r>
      <w:proofErr w:type="spellStart"/>
      <w:r w:rsidRPr="005315FD">
        <w:rPr>
          <w:rFonts w:ascii="Times New Roman" w:eastAsia="Times New Roman" w:hAnsi="Times New Roman" w:cs="Times New Roman"/>
          <w:color w:val="000000"/>
          <w:sz w:val="20"/>
          <w:szCs w:val="20"/>
          <w:lang w:val="uk-UA" w:eastAsia="ru-RU"/>
        </w:rPr>
        <w:t>показником-дестимулятором</w:t>
      </w:r>
      <w:proofErr w:type="spellEnd"/>
      <w:r w:rsidRPr="005315FD">
        <w:rPr>
          <w:rFonts w:ascii="Times New Roman" w:eastAsia="Times New Roman" w:hAnsi="Times New Roman" w:cs="Times New Roman"/>
          <w:color w:val="000000"/>
          <w:sz w:val="20"/>
          <w:szCs w:val="20"/>
          <w:lang w:val="uk-UA" w:eastAsia="ru-RU"/>
        </w:rPr>
        <w:t xml:space="preserve"> свідчить про превалювання позитивних тенденцій забезпечення ефективної мотивації праці в районі, тоді як збереження високого рівня показника-стимулятора діє у протилежному напрямку.</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eastAsia="ru-RU"/>
        </w:rPr>
      </w:pPr>
      <w:r w:rsidRPr="005315FD">
        <w:rPr>
          <w:rFonts w:ascii="Times New Roman" w:eastAsia="Times New Roman" w:hAnsi="Times New Roman" w:cs="Times New Roman"/>
          <w:color w:val="000000"/>
          <w:sz w:val="20"/>
          <w:szCs w:val="20"/>
          <w:lang w:val="uk-UA" w:eastAsia="ru-RU"/>
        </w:rPr>
        <w:t>Необхідною складовою процедури побудови інтегрального індикатору забезпечення ефективної мотивації праці є визначення напрямів забезпечення в контексті підвищення якості життя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val="uk-UA" w:eastAsia="ru-RU"/>
        </w:rPr>
      </w:pPr>
      <w:r w:rsidRPr="005315FD">
        <w:rPr>
          <w:rFonts w:ascii="Times New Roman" w:eastAsia="Times New Roman" w:hAnsi="Times New Roman" w:cs="Times New Roman"/>
          <w:color w:val="000000"/>
          <w:sz w:val="20"/>
          <w:szCs w:val="20"/>
          <w:lang w:val="uk-UA" w:eastAsia="ru-RU"/>
        </w:rPr>
        <w:t>Формування інтегрального індикатора оцінки забезпечення ефективної мотивації праці в контексті підвищення якості життя відбувається на основі 7 груп показників, які характеризують окремі аспекти забезпечення ефективної мотивації праці. Кожному з виділених показників відповідає свій секторний індекс:</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val="uk-UA" w:eastAsia="ru-RU"/>
        </w:rPr>
      </w:pPr>
      <w:r w:rsidRPr="005315FD">
        <w:rPr>
          <w:rFonts w:ascii="Times New Roman" w:eastAsia="Times New Roman" w:hAnsi="Times New Roman" w:cs="Times New Roman"/>
          <w:color w:val="000000"/>
          <w:sz w:val="20"/>
          <w:szCs w:val="20"/>
          <w:u w:val="single"/>
          <w:lang w:val="uk-UA" w:eastAsia="ru-RU"/>
        </w:rPr>
        <w:t>рівень матеріальної винагороди</w:t>
      </w:r>
      <w:r w:rsidRPr="005315FD">
        <w:rPr>
          <w:rFonts w:ascii="Times New Roman" w:eastAsia="Times New Roman" w:hAnsi="Times New Roman" w:cs="Times New Roman"/>
          <w:color w:val="000000"/>
          <w:sz w:val="20"/>
          <w:szCs w:val="20"/>
          <w:lang w:val="uk-UA" w:eastAsia="ru-RU"/>
        </w:rPr>
        <w:t>: індекс середньомісячної заробітної плати працівників роздрібної торгівлі споживчої кооперації регіону (+); співвідношення середньомісячної заробітної плати працівників роздрібної торгівлі споживчої кооперації до середнього рівні по споживчій кооперації регіону (+); співвідношення середньомісячної заробітної плати працівників роздрібної торгівлі споживчої кооперації до середньої по споживчій кооперації України (+); співвідношення середньомісячної заробітної плати працівників роздрібної торгівлі споживчої кооперації до середнього рівня по регіону (+); співвідношення середньомісячної заробітної плати працівників роздрібної торгівлі споживчої кооперації до середньої по галузям економіки України (+); частка фонду оплати праці у витратах обігу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val="uk-UA" w:eastAsia="ru-RU"/>
        </w:rPr>
      </w:pPr>
      <w:r w:rsidRPr="005315FD">
        <w:rPr>
          <w:rFonts w:ascii="Times New Roman" w:eastAsia="Times New Roman" w:hAnsi="Times New Roman" w:cs="Times New Roman"/>
          <w:color w:val="000000"/>
          <w:sz w:val="20"/>
          <w:szCs w:val="20"/>
          <w:u w:val="single"/>
          <w:lang w:val="uk-UA" w:eastAsia="ru-RU"/>
        </w:rPr>
        <w:t>гарантія отримання певного доходу</w:t>
      </w:r>
      <w:r w:rsidRPr="005315FD">
        <w:rPr>
          <w:rFonts w:ascii="Times New Roman" w:eastAsia="Times New Roman" w:hAnsi="Times New Roman" w:cs="Times New Roman"/>
          <w:color w:val="000000"/>
          <w:sz w:val="20"/>
          <w:szCs w:val="20"/>
          <w:lang w:val="uk-UA" w:eastAsia="ru-RU"/>
        </w:rPr>
        <w:t>: співвідношення середньомісячної заробітної плати працівників роздрібної торгівлі споживчої кооперації та мінімальної заробітної плати (+); співвідношення середньомісячної заробітної плати працівників роздрібної торгівлі споживчої кооперації та прожиткового мінімуму (+); індекс співвідношення середньомісячної заробітної плати та мінімальної заробітної плати у 2011 р. до 2010 р. (+);</w:t>
      </w:r>
      <w:r w:rsidRPr="005315FD">
        <w:rPr>
          <w:rFonts w:ascii="Times New Roman" w:eastAsia="Times New Roman" w:hAnsi="Times New Roman" w:cs="Times New Roman"/>
          <w:color w:val="000000"/>
          <w:sz w:val="20"/>
          <w:szCs w:val="20"/>
          <w:u w:val="single"/>
          <w:lang w:val="uk-UA" w:eastAsia="ru-RU"/>
        </w:rPr>
        <w:t> </w:t>
      </w:r>
      <w:r w:rsidRPr="005315FD">
        <w:rPr>
          <w:rFonts w:ascii="Times New Roman" w:eastAsia="Times New Roman" w:hAnsi="Times New Roman" w:cs="Times New Roman"/>
          <w:color w:val="000000"/>
          <w:sz w:val="20"/>
          <w:szCs w:val="20"/>
          <w:lang w:val="uk-UA" w:eastAsia="ru-RU"/>
        </w:rPr>
        <w:t>індекс співвідношення середньомісячної заробітної плати та прожиткового мінімуму у    2011 р. до 2010 р.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eastAsia="ru-RU"/>
        </w:rPr>
      </w:pPr>
      <w:r w:rsidRPr="005315FD">
        <w:rPr>
          <w:rFonts w:ascii="Times New Roman" w:eastAsia="Times New Roman" w:hAnsi="Times New Roman" w:cs="Times New Roman"/>
          <w:color w:val="000000"/>
          <w:sz w:val="20"/>
          <w:szCs w:val="20"/>
          <w:u w:val="single"/>
          <w:lang w:val="uk-UA" w:eastAsia="ru-RU"/>
        </w:rPr>
        <w:t>результативність зайнятості</w:t>
      </w:r>
      <w:r w:rsidRPr="005315FD">
        <w:rPr>
          <w:rFonts w:ascii="Times New Roman" w:eastAsia="Times New Roman" w:hAnsi="Times New Roman" w:cs="Times New Roman"/>
          <w:color w:val="000000"/>
          <w:sz w:val="20"/>
          <w:szCs w:val="20"/>
          <w:lang w:val="uk-UA" w:eastAsia="ru-RU"/>
        </w:rPr>
        <w:t>: індекс середньомісячного навантаження працівників роздрібної торгівлі (+); індекс прибутковості персоналу (+); прибутковість витрат на оплату праці (+); індекс рівня витрат на оплату праці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eastAsia="ru-RU"/>
        </w:rPr>
      </w:pPr>
      <w:r w:rsidRPr="005315FD">
        <w:rPr>
          <w:rFonts w:ascii="Times New Roman" w:eastAsia="Times New Roman" w:hAnsi="Times New Roman" w:cs="Times New Roman"/>
          <w:color w:val="000000"/>
          <w:sz w:val="20"/>
          <w:szCs w:val="20"/>
          <w:u w:val="single"/>
          <w:lang w:val="uk-UA" w:eastAsia="ru-RU"/>
        </w:rPr>
        <w:lastRenderedPageBreak/>
        <w:t>стан роздрібної торгівлі споживчої кооперації регіону</w:t>
      </w:r>
      <w:r w:rsidRPr="005315FD">
        <w:rPr>
          <w:rFonts w:ascii="Times New Roman" w:eastAsia="Times New Roman" w:hAnsi="Times New Roman" w:cs="Times New Roman"/>
          <w:color w:val="000000"/>
          <w:sz w:val="20"/>
          <w:szCs w:val="20"/>
          <w:lang w:val="uk-UA" w:eastAsia="ru-RU"/>
        </w:rPr>
        <w:t>: індекс роздрібного товарообороту (+); індекс кількості торговельних об'єктів (+); індекс торговельної площі торговельних об'єктів (+); індекс торговельної площі 1 торговельного об'єкту (+); індекс прибутковості торговельної діяльності (+); індекс товарообороту на 1 торговельний об'єкт (+); індекс ефективності використання торговельної площі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val="uk-UA" w:eastAsia="ru-RU"/>
        </w:rPr>
      </w:pPr>
      <w:r w:rsidRPr="005315FD">
        <w:rPr>
          <w:rFonts w:ascii="Times New Roman" w:eastAsia="Times New Roman" w:hAnsi="Times New Roman" w:cs="Times New Roman"/>
          <w:color w:val="000000"/>
          <w:sz w:val="20"/>
          <w:szCs w:val="20"/>
          <w:u w:val="single"/>
          <w:lang w:val="uk-UA" w:eastAsia="ru-RU"/>
        </w:rPr>
        <w:t>освіта</w:t>
      </w:r>
      <w:r w:rsidRPr="005315FD">
        <w:rPr>
          <w:rFonts w:ascii="Times New Roman" w:eastAsia="Times New Roman" w:hAnsi="Times New Roman" w:cs="Times New Roman"/>
          <w:color w:val="000000"/>
          <w:sz w:val="20"/>
          <w:szCs w:val="20"/>
          <w:lang w:val="uk-UA" w:eastAsia="ru-RU"/>
        </w:rPr>
        <w:t>: індекс працівників з базовою вищою освітою (+); індекс працівників з повною вищою освітою (+); індекс працівників, що пройшли профпідготовку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val="uk-UA" w:eastAsia="ru-RU"/>
        </w:rPr>
      </w:pPr>
      <w:r w:rsidRPr="005315FD">
        <w:rPr>
          <w:rFonts w:ascii="Times New Roman" w:eastAsia="Times New Roman" w:hAnsi="Times New Roman" w:cs="Times New Roman"/>
          <w:color w:val="000000"/>
          <w:sz w:val="20"/>
          <w:szCs w:val="20"/>
          <w:u w:val="single"/>
          <w:lang w:val="uk-UA" w:eastAsia="ru-RU"/>
        </w:rPr>
        <w:t>забезпеченість житлом</w:t>
      </w:r>
      <w:r w:rsidRPr="005315FD">
        <w:rPr>
          <w:rFonts w:ascii="Times New Roman" w:eastAsia="Times New Roman" w:hAnsi="Times New Roman" w:cs="Times New Roman"/>
          <w:color w:val="000000"/>
          <w:sz w:val="20"/>
          <w:szCs w:val="20"/>
          <w:lang w:val="uk-UA" w:eastAsia="ru-RU"/>
        </w:rPr>
        <w:t>: індекс загального житлового фонду (+); індекс житлового фонду на одного жителя (+); індекс кількості сімей, що перебувають на квартирному обліку (+); індекс кількості сімей, що отримали житло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val="uk-UA" w:eastAsia="ru-RU"/>
        </w:rPr>
      </w:pPr>
      <w:r w:rsidRPr="005315FD">
        <w:rPr>
          <w:rFonts w:ascii="Times New Roman" w:eastAsia="Times New Roman" w:hAnsi="Times New Roman" w:cs="Times New Roman"/>
          <w:color w:val="000000"/>
          <w:sz w:val="20"/>
          <w:szCs w:val="20"/>
          <w:u w:val="single"/>
          <w:lang w:val="uk-UA" w:eastAsia="ru-RU"/>
        </w:rPr>
        <w:t>забезпечення здоров'я</w:t>
      </w:r>
      <w:r w:rsidRPr="005315FD">
        <w:rPr>
          <w:rFonts w:ascii="Times New Roman" w:eastAsia="Times New Roman" w:hAnsi="Times New Roman" w:cs="Times New Roman"/>
          <w:color w:val="000000"/>
          <w:sz w:val="20"/>
          <w:szCs w:val="20"/>
          <w:lang w:val="uk-UA" w:eastAsia="ru-RU"/>
        </w:rPr>
        <w:t>: індекс кількості лікарняних закладів (+); індекс кількості лікарняних ліжок, всього (+); індекс кількості лікарняних ліжок на 10000 населення (+); індекс кількості уперше у життя зареєстрованих випадків захворювань (-); рівень тимчасової непрацездатності (-); індекс витрат на оздоровлення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Залишковий ваговий коефіцієнт розраховують за формулою:</w:t>
      </w:r>
    </w:p>
    <w:p w:rsidR="005315FD" w:rsidRPr="005315FD" w:rsidRDefault="005315FD" w:rsidP="005315FD">
      <w:pPr>
        <w:spacing w:after="0" w:line="240" w:lineRule="auto"/>
        <w:rPr>
          <w:rFonts w:ascii="Times New Roman" w:eastAsia="Times New Roman" w:hAnsi="Times New Roman" w:cs="Times New Roman"/>
          <w:color w:val="000000"/>
          <w:sz w:val="20"/>
          <w:szCs w:val="20"/>
          <w:lang w:val="uk-UA" w:eastAsia="ru-RU"/>
        </w:rPr>
      </w:pPr>
      <w:r w:rsidRPr="005315FD">
        <w:rPr>
          <w:rFonts w:ascii="Times New Roman" w:eastAsia="Times New Roman" w:hAnsi="Times New Roman" w:cs="Times New Roman"/>
          <w:b/>
          <w:bCs/>
          <w:i/>
          <w:iCs/>
          <w:color w:val="000000"/>
          <w:sz w:val="20"/>
          <w:szCs w:val="20"/>
          <w:lang w:val="uk-UA" w:eastAsia="ru-RU"/>
        </w:rPr>
        <w:t>            </w:t>
      </w:r>
      <w:r>
        <w:rPr>
          <w:rFonts w:ascii="Times New Roman" w:eastAsia="Times New Roman" w:hAnsi="Times New Roman" w:cs="Times New Roman"/>
          <w:b/>
          <w:bCs/>
          <w:i/>
          <w:iCs/>
          <w:color w:val="000000"/>
          <w:sz w:val="20"/>
          <w:szCs w:val="20"/>
          <w:lang w:val="en-US" w:eastAsia="ru-RU"/>
        </w:rPr>
        <w:t xml:space="preserve">                                                    </w:t>
      </w:r>
      <w:r w:rsidRPr="005315FD">
        <w:rPr>
          <w:rFonts w:ascii="Times New Roman" w:eastAsia="Times New Roman" w:hAnsi="Times New Roman" w:cs="Times New Roman"/>
          <w:b/>
          <w:bCs/>
          <w:i/>
          <w:iCs/>
          <w:color w:val="000000"/>
          <w:sz w:val="20"/>
          <w:szCs w:val="20"/>
          <w:lang w:val="uk-UA" w:eastAsia="ru-RU"/>
        </w:rPr>
        <w:t>     </w:t>
      </w:r>
      <w:r>
        <w:rPr>
          <w:noProof/>
          <w:lang w:eastAsia="ru-RU"/>
        </w:rPr>
        <w:drawing>
          <wp:inline distT="0" distB="0" distL="0" distR="0" wp14:anchorId="280EAEB2" wp14:editId="70EF62F5">
            <wp:extent cx="1076325" cy="400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76325" cy="400050"/>
                    </a:xfrm>
                    <a:prstGeom prst="rect">
                      <a:avLst/>
                    </a:prstGeom>
                  </pic:spPr>
                </pic:pic>
              </a:graphicData>
            </a:graphic>
          </wp:inline>
        </w:drawing>
      </w:r>
      <w:r w:rsidRPr="005315FD">
        <w:rPr>
          <w:rFonts w:ascii="Times New Roman" w:eastAsia="Times New Roman" w:hAnsi="Times New Roman" w:cs="Times New Roman"/>
          <w:b/>
          <w:bCs/>
          <w:i/>
          <w:iCs/>
          <w:color w:val="000000"/>
          <w:sz w:val="20"/>
          <w:szCs w:val="20"/>
          <w:lang w:val="uk-UA" w:eastAsia="ru-RU"/>
        </w:rPr>
        <w:t>                     </w:t>
      </w:r>
      <w:r w:rsidRPr="005315FD">
        <w:rPr>
          <w:rFonts w:ascii="Times New Roman" w:eastAsia="Times New Roman" w:hAnsi="Times New Roman" w:cs="Times New Roman"/>
          <w:color w:val="000000"/>
          <w:sz w:val="20"/>
          <w:szCs w:val="20"/>
          <w:lang w:val="uk-UA" w:eastAsia="ru-RU"/>
        </w:rPr>
        <w:t>(4)</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val="uk-UA" w:eastAsia="ru-RU"/>
        </w:rPr>
      </w:pPr>
      <w:r w:rsidRPr="005315FD">
        <w:rPr>
          <w:rFonts w:ascii="Times New Roman" w:eastAsia="Times New Roman" w:hAnsi="Times New Roman" w:cs="Times New Roman"/>
          <w:color w:val="000000"/>
          <w:sz w:val="20"/>
          <w:szCs w:val="20"/>
          <w:lang w:val="uk-UA" w:eastAsia="ru-RU"/>
        </w:rPr>
        <w:t>Результати авторських розрахунків інтегрального індикатора забезпечення ефективної мотивації праці у роздрібній торгівлі споживчої кооперації Полтавського регіону в контексті підвищення якості життя представлені на рис.1.</w:t>
      </w:r>
    </w:p>
    <w:p w:rsidR="005315FD" w:rsidRPr="005315FD" w:rsidRDefault="005315FD" w:rsidP="005315FD">
      <w:pPr>
        <w:spacing w:after="0" w:line="240" w:lineRule="auto"/>
        <w:rPr>
          <w:rFonts w:ascii="Times New Roman" w:eastAsia="Times New Roman" w:hAnsi="Times New Roman" w:cs="Times New Roman"/>
          <w:sz w:val="24"/>
          <w:szCs w:val="24"/>
          <w:lang w:val="uk-UA" w:eastAsia="ru-RU"/>
        </w:rPr>
      </w:pPr>
      <w:r w:rsidRPr="005315FD">
        <w:rPr>
          <w:rFonts w:ascii="Times New Roman" w:eastAsia="Times New Roman" w:hAnsi="Times New Roman" w:cs="Times New Roman"/>
          <w:color w:val="000000"/>
          <w:sz w:val="20"/>
          <w:szCs w:val="20"/>
          <w:lang w:val="uk-UA" w:eastAsia="ru-RU"/>
        </w:rPr>
        <w:br/>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val="uk-UA" w:eastAsia="ru-RU"/>
        </w:rPr>
      </w:pPr>
      <w:r w:rsidRPr="005315FD">
        <w:rPr>
          <w:rFonts w:ascii="Times New Roman" w:eastAsia="Times New Roman" w:hAnsi="Times New Roman" w:cs="Times New Roman"/>
          <w:color w:val="000000"/>
          <w:sz w:val="20"/>
          <w:szCs w:val="20"/>
          <w:lang w:val="uk-UA" w:eastAsia="ru-RU"/>
        </w:rPr>
        <w:t> </w:t>
      </w:r>
    </w:p>
    <w:p w:rsidR="005315FD" w:rsidRPr="005315FD" w:rsidRDefault="005315FD" w:rsidP="005315FD">
      <w:pPr>
        <w:spacing w:after="0" w:line="240" w:lineRule="auto"/>
        <w:jc w:val="both"/>
        <w:rPr>
          <w:rFonts w:ascii="Times New Roman" w:eastAsia="Times New Roman" w:hAnsi="Times New Roman" w:cs="Times New Roman"/>
          <w:color w:val="000000"/>
          <w:sz w:val="18"/>
          <w:szCs w:val="18"/>
          <w:lang w:eastAsia="ru-RU"/>
        </w:rPr>
      </w:pPr>
      <w:r>
        <w:rPr>
          <w:noProof/>
          <w:lang w:eastAsia="ru-RU"/>
        </w:rPr>
        <w:drawing>
          <wp:inline distT="0" distB="0" distL="0" distR="0" wp14:anchorId="5E97ED3A" wp14:editId="0574A9C2">
            <wp:extent cx="5940425" cy="446477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464778"/>
                    </a:xfrm>
                    <a:prstGeom prst="rect">
                      <a:avLst/>
                    </a:prstGeom>
                  </pic:spPr>
                </pic:pic>
              </a:graphicData>
            </a:graphic>
          </wp:inline>
        </w:drawing>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b/>
          <w:bCs/>
          <w:color w:val="000000"/>
          <w:sz w:val="20"/>
          <w:szCs w:val="20"/>
          <w:lang w:val="uk-UA" w:eastAsia="ru-RU"/>
        </w:rPr>
        <w:t>Рис. 1. Відмінності за інтегральним індикатором забезпечення ефективної мотивації праці у роздрібній торгівлі споживчої кооперації Полтавського регіону в контексті підвищення якості життя</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val="en-US" w:eastAsia="ru-RU"/>
        </w:rPr>
      </w:pPr>
      <w:r w:rsidRPr="005315FD">
        <w:rPr>
          <w:rFonts w:ascii="Times New Roman" w:eastAsia="Times New Roman" w:hAnsi="Times New Roman" w:cs="Times New Roman"/>
          <w:color w:val="000000"/>
          <w:sz w:val="20"/>
          <w:szCs w:val="20"/>
          <w:lang w:val="uk-UA" w:eastAsia="ru-RU"/>
        </w:rPr>
        <w:t>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18"/>
          <w:szCs w:val="18"/>
          <w:lang w:eastAsia="ru-RU"/>
        </w:rPr>
      </w:pPr>
      <w:r w:rsidRPr="005315FD">
        <w:rPr>
          <w:rFonts w:ascii="Times New Roman" w:eastAsia="Times New Roman" w:hAnsi="Times New Roman" w:cs="Times New Roman"/>
          <w:color w:val="000000"/>
          <w:sz w:val="20"/>
          <w:szCs w:val="20"/>
          <w:lang w:val="uk-UA" w:eastAsia="ru-RU"/>
        </w:rPr>
        <w:t xml:space="preserve">За результатами проведених досліджень до першої групи, де інтегральний індикатор забезпечення ефективної мотивації праці є найнижчим (0,104092 – 0,287593), </w:t>
      </w:r>
      <w:proofErr w:type="spellStart"/>
      <w:r w:rsidRPr="005315FD">
        <w:rPr>
          <w:rFonts w:ascii="Times New Roman" w:eastAsia="Times New Roman" w:hAnsi="Times New Roman" w:cs="Times New Roman"/>
          <w:color w:val="000000"/>
          <w:sz w:val="20"/>
          <w:szCs w:val="20"/>
          <w:lang w:val="uk-UA" w:eastAsia="ru-RU"/>
        </w:rPr>
        <w:t>відн</w:t>
      </w:r>
      <w:proofErr w:type="spellEnd"/>
      <w:r w:rsidRPr="005315FD">
        <w:rPr>
          <w:rFonts w:ascii="Times New Roman" w:eastAsia="Times New Roman" w:hAnsi="Times New Roman" w:cs="Times New Roman"/>
          <w:color w:val="000000"/>
          <w:sz w:val="20"/>
          <w:szCs w:val="20"/>
          <w:lang w:val="uk-UA" w:eastAsia="ru-RU"/>
        </w:rPr>
        <w:t xml:space="preserve">осяться    В. </w:t>
      </w:r>
      <w:proofErr w:type="spellStart"/>
      <w:r w:rsidRPr="005315FD">
        <w:rPr>
          <w:rFonts w:ascii="Times New Roman" w:eastAsia="Times New Roman" w:hAnsi="Times New Roman" w:cs="Times New Roman"/>
          <w:color w:val="000000"/>
          <w:sz w:val="20"/>
          <w:szCs w:val="20"/>
          <w:lang w:val="uk-UA" w:eastAsia="ru-RU"/>
        </w:rPr>
        <w:t>Багачанський</w:t>
      </w:r>
      <w:proofErr w:type="spellEnd"/>
      <w:r w:rsidRPr="005315FD">
        <w:rPr>
          <w:rFonts w:ascii="Times New Roman" w:eastAsia="Times New Roman" w:hAnsi="Times New Roman" w:cs="Times New Roman"/>
          <w:color w:val="000000"/>
          <w:sz w:val="20"/>
          <w:szCs w:val="20"/>
          <w:lang w:val="uk-UA" w:eastAsia="ru-RU"/>
        </w:rPr>
        <w:t xml:space="preserve">, Гадяцький, </w:t>
      </w:r>
      <w:proofErr w:type="spellStart"/>
      <w:r w:rsidRPr="005315FD">
        <w:rPr>
          <w:rFonts w:ascii="Times New Roman" w:eastAsia="Times New Roman" w:hAnsi="Times New Roman" w:cs="Times New Roman"/>
          <w:color w:val="000000"/>
          <w:sz w:val="20"/>
          <w:szCs w:val="20"/>
          <w:lang w:val="uk-UA" w:eastAsia="ru-RU"/>
        </w:rPr>
        <w:t>Гребінківський</w:t>
      </w:r>
      <w:proofErr w:type="spellEnd"/>
      <w:r w:rsidRPr="005315FD">
        <w:rPr>
          <w:rFonts w:ascii="Times New Roman" w:eastAsia="Times New Roman" w:hAnsi="Times New Roman" w:cs="Times New Roman"/>
          <w:color w:val="000000"/>
          <w:sz w:val="20"/>
          <w:szCs w:val="20"/>
          <w:lang w:val="uk-UA" w:eastAsia="ru-RU"/>
        </w:rPr>
        <w:t xml:space="preserve">, </w:t>
      </w:r>
      <w:proofErr w:type="spellStart"/>
      <w:r w:rsidRPr="005315FD">
        <w:rPr>
          <w:rFonts w:ascii="Times New Roman" w:eastAsia="Times New Roman" w:hAnsi="Times New Roman" w:cs="Times New Roman"/>
          <w:color w:val="000000"/>
          <w:sz w:val="20"/>
          <w:szCs w:val="20"/>
          <w:lang w:val="uk-UA" w:eastAsia="ru-RU"/>
        </w:rPr>
        <w:t>Карлівський</w:t>
      </w:r>
      <w:proofErr w:type="spellEnd"/>
      <w:r w:rsidRPr="005315FD">
        <w:rPr>
          <w:rFonts w:ascii="Times New Roman" w:eastAsia="Times New Roman" w:hAnsi="Times New Roman" w:cs="Times New Roman"/>
          <w:color w:val="000000"/>
          <w:sz w:val="20"/>
          <w:szCs w:val="20"/>
          <w:lang w:val="uk-UA" w:eastAsia="ru-RU"/>
        </w:rPr>
        <w:t xml:space="preserve">, </w:t>
      </w:r>
      <w:proofErr w:type="spellStart"/>
      <w:r w:rsidRPr="005315FD">
        <w:rPr>
          <w:rFonts w:ascii="Times New Roman" w:eastAsia="Times New Roman" w:hAnsi="Times New Roman" w:cs="Times New Roman"/>
          <w:color w:val="000000"/>
          <w:sz w:val="20"/>
          <w:szCs w:val="20"/>
          <w:lang w:val="uk-UA" w:eastAsia="ru-RU"/>
        </w:rPr>
        <w:t>Котелевський</w:t>
      </w:r>
      <w:proofErr w:type="spellEnd"/>
      <w:r w:rsidRPr="005315FD">
        <w:rPr>
          <w:rFonts w:ascii="Times New Roman" w:eastAsia="Times New Roman" w:hAnsi="Times New Roman" w:cs="Times New Roman"/>
          <w:color w:val="000000"/>
          <w:sz w:val="20"/>
          <w:szCs w:val="20"/>
          <w:lang w:val="uk-UA" w:eastAsia="ru-RU"/>
        </w:rPr>
        <w:t xml:space="preserve">, </w:t>
      </w:r>
      <w:proofErr w:type="spellStart"/>
      <w:r w:rsidRPr="005315FD">
        <w:rPr>
          <w:rFonts w:ascii="Times New Roman" w:eastAsia="Times New Roman" w:hAnsi="Times New Roman" w:cs="Times New Roman"/>
          <w:color w:val="000000"/>
          <w:sz w:val="20"/>
          <w:szCs w:val="20"/>
          <w:lang w:val="uk-UA" w:eastAsia="ru-RU"/>
        </w:rPr>
        <w:t>Машівський</w:t>
      </w:r>
      <w:proofErr w:type="spellEnd"/>
      <w:r w:rsidRPr="005315FD">
        <w:rPr>
          <w:rFonts w:ascii="Times New Roman" w:eastAsia="Times New Roman" w:hAnsi="Times New Roman" w:cs="Times New Roman"/>
          <w:color w:val="000000"/>
          <w:sz w:val="20"/>
          <w:szCs w:val="20"/>
          <w:lang w:val="uk-UA" w:eastAsia="ru-RU"/>
        </w:rPr>
        <w:t xml:space="preserve">, Миргородський, </w:t>
      </w:r>
      <w:proofErr w:type="spellStart"/>
      <w:r w:rsidRPr="005315FD">
        <w:rPr>
          <w:rFonts w:ascii="Times New Roman" w:eastAsia="Times New Roman" w:hAnsi="Times New Roman" w:cs="Times New Roman"/>
          <w:color w:val="000000"/>
          <w:sz w:val="20"/>
          <w:szCs w:val="20"/>
          <w:lang w:val="uk-UA" w:eastAsia="ru-RU"/>
        </w:rPr>
        <w:t>Семенівський</w:t>
      </w:r>
      <w:proofErr w:type="spellEnd"/>
      <w:r w:rsidRPr="005315FD">
        <w:rPr>
          <w:rFonts w:ascii="Times New Roman" w:eastAsia="Times New Roman" w:hAnsi="Times New Roman" w:cs="Times New Roman"/>
          <w:color w:val="000000"/>
          <w:sz w:val="20"/>
          <w:szCs w:val="20"/>
          <w:lang w:val="uk-UA" w:eastAsia="ru-RU"/>
        </w:rPr>
        <w:t xml:space="preserve">, </w:t>
      </w:r>
      <w:proofErr w:type="spellStart"/>
      <w:r w:rsidRPr="005315FD">
        <w:rPr>
          <w:rFonts w:ascii="Times New Roman" w:eastAsia="Times New Roman" w:hAnsi="Times New Roman" w:cs="Times New Roman"/>
          <w:color w:val="000000"/>
          <w:sz w:val="20"/>
          <w:szCs w:val="20"/>
          <w:lang w:val="uk-UA" w:eastAsia="ru-RU"/>
        </w:rPr>
        <w:t>Хорольский</w:t>
      </w:r>
      <w:proofErr w:type="spellEnd"/>
      <w:r w:rsidRPr="005315FD">
        <w:rPr>
          <w:rFonts w:ascii="Times New Roman" w:eastAsia="Times New Roman" w:hAnsi="Times New Roman" w:cs="Times New Roman"/>
          <w:color w:val="000000"/>
          <w:sz w:val="20"/>
          <w:szCs w:val="20"/>
          <w:lang w:val="uk-UA" w:eastAsia="ru-RU"/>
        </w:rPr>
        <w:t xml:space="preserve">, </w:t>
      </w:r>
      <w:proofErr w:type="spellStart"/>
      <w:r w:rsidRPr="005315FD">
        <w:rPr>
          <w:rFonts w:ascii="Times New Roman" w:eastAsia="Times New Roman" w:hAnsi="Times New Roman" w:cs="Times New Roman"/>
          <w:color w:val="000000"/>
          <w:sz w:val="20"/>
          <w:szCs w:val="20"/>
          <w:lang w:val="uk-UA" w:eastAsia="ru-RU"/>
        </w:rPr>
        <w:t>Чутівський</w:t>
      </w:r>
      <w:proofErr w:type="spellEnd"/>
      <w:r w:rsidRPr="005315FD">
        <w:rPr>
          <w:rFonts w:ascii="Times New Roman" w:eastAsia="Times New Roman" w:hAnsi="Times New Roman" w:cs="Times New Roman"/>
          <w:color w:val="000000"/>
          <w:sz w:val="20"/>
          <w:szCs w:val="20"/>
          <w:lang w:val="uk-UA" w:eastAsia="ru-RU"/>
        </w:rPr>
        <w:t xml:space="preserve">, </w:t>
      </w:r>
      <w:proofErr w:type="spellStart"/>
      <w:r w:rsidRPr="005315FD">
        <w:rPr>
          <w:rFonts w:ascii="Times New Roman" w:eastAsia="Times New Roman" w:hAnsi="Times New Roman" w:cs="Times New Roman"/>
          <w:color w:val="000000"/>
          <w:sz w:val="20"/>
          <w:szCs w:val="20"/>
          <w:lang w:val="uk-UA" w:eastAsia="ru-RU"/>
        </w:rPr>
        <w:t>Чорнухинський</w:t>
      </w:r>
      <w:proofErr w:type="spellEnd"/>
      <w:r w:rsidRPr="005315FD">
        <w:rPr>
          <w:rFonts w:ascii="Times New Roman" w:eastAsia="Times New Roman" w:hAnsi="Times New Roman" w:cs="Times New Roman"/>
          <w:color w:val="000000"/>
          <w:sz w:val="20"/>
          <w:szCs w:val="20"/>
          <w:lang w:val="uk-UA" w:eastAsia="ru-RU"/>
        </w:rPr>
        <w:t xml:space="preserve">, </w:t>
      </w:r>
      <w:proofErr w:type="spellStart"/>
      <w:r w:rsidRPr="005315FD">
        <w:rPr>
          <w:rFonts w:ascii="Times New Roman" w:eastAsia="Times New Roman" w:hAnsi="Times New Roman" w:cs="Times New Roman"/>
          <w:color w:val="000000"/>
          <w:sz w:val="20"/>
          <w:szCs w:val="20"/>
          <w:lang w:val="uk-UA" w:eastAsia="ru-RU"/>
        </w:rPr>
        <w:t>Шишацький</w:t>
      </w:r>
      <w:proofErr w:type="spellEnd"/>
      <w:r w:rsidRPr="005315FD">
        <w:rPr>
          <w:rFonts w:ascii="Times New Roman" w:eastAsia="Times New Roman" w:hAnsi="Times New Roman" w:cs="Times New Roman"/>
          <w:color w:val="000000"/>
          <w:sz w:val="20"/>
          <w:szCs w:val="20"/>
          <w:lang w:val="uk-UA" w:eastAsia="ru-RU"/>
        </w:rPr>
        <w:t xml:space="preserve"> райони. До другої групи регіонів, у яких інтегральний індикатор має значення від 0,303517 до 0,486034, відносяться </w:t>
      </w:r>
      <w:proofErr w:type="spellStart"/>
      <w:r w:rsidRPr="005315FD">
        <w:rPr>
          <w:rFonts w:ascii="Times New Roman" w:eastAsia="Times New Roman" w:hAnsi="Times New Roman" w:cs="Times New Roman"/>
          <w:color w:val="000000"/>
          <w:sz w:val="20"/>
          <w:szCs w:val="20"/>
          <w:lang w:val="uk-UA" w:eastAsia="ru-RU"/>
        </w:rPr>
        <w:t>Диканський</w:t>
      </w:r>
      <w:proofErr w:type="spellEnd"/>
      <w:r w:rsidRPr="005315FD">
        <w:rPr>
          <w:rFonts w:ascii="Times New Roman" w:eastAsia="Times New Roman" w:hAnsi="Times New Roman" w:cs="Times New Roman"/>
          <w:color w:val="000000"/>
          <w:sz w:val="20"/>
          <w:szCs w:val="20"/>
          <w:lang w:val="uk-UA" w:eastAsia="ru-RU"/>
        </w:rPr>
        <w:t xml:space="preserve">, Зінківський, Кобеляцький, Козельщанський, Кременчуцький, </w:t>
      </w:r>
      <w:proofErr w:type="spellStart"/>
      <w:r w:rsidRPr="005315FD">
        <w:rPr>
          <w:rFonts w:ascii="Times New Roman" w:eastAsia="Times New Roman" w:hAnsi="Times New Roman" w:cs="Times New Roman"/>
          <w:color w:val="000000"/>
          <w:sz w:val="20"/>
          <w:szCs w:val="20"/>
          <w:lang w:val="uk-UA" w:eastAsia="ru-RU"/>
        </w:rPr>
        <w:t>Лохвицький</w:t>
      </w:r>
      <w:proofErr w:type="spellEnd"/>
      <w:r w:rsidRPr="005315FD">
        <w:rPr>
          <w:rFonts w:ascii="Times New Roman" w:eastAsia="Times New Roman" w:hAnsi="Times New Roman" w:cs="Times New Roman"/>
          <w:color w:val="000000"/>
          <w:sz w:val="20"/>
          <w:szCs w:val="20"/>
          <w:lang w:val="uk-UA" w:eastAsia="ru-RU"/>
        </w:rPr>
        <w:t xml:space="preserve">, Лубенський, Н. </w:t>
      </w:r>
      <w:proofErr w:type="spellStart"/>
      <w:r w:rsidRPr="005315FD">
        <w:rPr>
          <w:rFonts w:ascii="Times New Roman" w:eastAsia="Times New Roman" w:hAnsi="Times New Roman" w:cs="Times New Roman"/>
          <w:color w:val="000000"/>
          <w:sz w:val="20"/>
          <w:szCs w:val="20"/>
          <w:lang w:val="uk-UA" w:eastAsia="ru-RU"/>
        </w:rPr>
        <w:t>Санжарський</w:t>
      </w:r>
      <w:proofErr w:type="spellEnd"/>
      <w:r w:rsidRPr="005315FD">
        <w:rPr>
          <w:rFonts w:ascii="Times New Roman" w:eastAsia="Times New Roman" w:hAnsi="Times New Roman" w:cs="Times New Roman"/>
          <w:color w:val="000000"/>
          <w:sz w:val="20"/>
          <w:szCs w:val="20"/>
          <w:lang w:val="uk-UA" w:eastAsia="ru-RU"/>
        </w:rPr>
        <w:t xml:space="preserve">, Пирятинський, Полтавський </w:t>
      </w:r>
      <w:r w:rsidRPr="005315FD">
        <w:rPr>
          <w:rFonts w:ascii="Times New Roman" w:eastAsia="Times New Roman" w:hAnsi="Times New Roman" w:cs="Times New Roman"/>
          <w:color w:val="000000"/>
          <w:sz w:val="20"/>
          <w:szCs w:val="20"/>
          <w:lang w:val="uk-UA" w:eastAsia="ru-RU"/>
        </w:rPr>
        <w:lastRenderedPageBreak/>
        <w:t xml:space="preserve">райони. До третьої групи регіонів, у яких інтегральний індикатор найвищий (0,0520974 – 0,733835), відносяться </w:t>
      </w:r>
      <w:proofErr w:type="spellStart"/>
      <w:r w:rsidRPr="005315FD">
        <w:rPr>
          <w:rFonts w:ascii="Times New Roman" w:eastAsia="Times New Roman" w:hAnsi="Times New Roman" w:cs="Times New Roman"/>
          <w:color w:val="000000"/>
          <w:sz w:val="20"/>
          <w:szCs w:val="20"/>
          <w:lang w:val="uk-UA" w:eastAsia="ru-RU"/>
        </w:rPr>
        <w:t>Глобинський</w:t>
      </w:r>
      <w:proofErr w:type="spellEnd"/>
      <w:r w:rsidRPr="005315FD">
        <w:rPr>
          <w:rFonts w:ascii="Times New Roman" w:eastAsia="Times New Roman" w:hAnsi="Times New Roman" w:cs="Times New Roman"/>
          <w:color w:val="000000"/>
          <w:sz w:val="20"/>
          <w:szCs w:val="20"/>
          <w:lang w:val="uk-UA" w:eastAsia="ru-RU"/>
        </w:rPr>
        <w:t xml:space="preserve">, </w:t>
      </w:r>
      <w:proofErr w:type="spellStart"/>
      <w:r w:rsidRPr="005315FD">
        <w:rPr>
          <w:rFonts w:ascii="Times New Roman" w:eastAsia="Times New Roman" w:hAnsi="Times New Roman" w:cs="Times New Roman"/>
          <w:color w:val="000000"/>
          <w:sz w:val="20"/>
          <w:szCs w:val="20"/>
          <w:lang w:val="uk-UA" w:eastAsia="ru-RU"/>
        </w:rPr>
        <w:t>Оржицький</w:t>
      </w:r>
      <w:proofErr w:type="spellEnd"/>
      <w:r w:rsidRPr="005315FD">
        <w:rPr>
          <w:rFonts w:ascii="Times New Roman" w:eastAsia="Times New Roman" w:hAnsi="Times New Roman" w:cs="Times New Roman"/>
          <w:color w:val="000000"/>
          <w:sz w:val="20"/>
          <w:szCs w:val="20"/>
          <w:lang w:val="uk-UA" w:eastAsia="ru-RU"/>
        </w:rPr>
        <w:t>, Решетилівський райони.</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b/>
          <w:bCs/>
          <w:caps/>
          <w:color w:val="000000"/>
          <w:sz w:val="20"/>
          <w:szCs w:val="20"/>
          <w:lang w:val="uk-UA" w:eastAsia="ru-RU"/>
        </w:rPr>
        <w:t>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b/>
          <w:bCs/>
          <w:caps/>
          <w:color w:val="000000"/>
          <w:sz w:val="20"/>
          <w:szCs w:val="20"/>
          <w:lang w:val="uk-UA" w:eastAsia="ru-RU"/>
        </w:rPr>
        <w:t>ВИСНОВКИ</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На основі проведених досліджень можемо зробити такі висновки:</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використана методика дозволяє вирішити науково-практичне завдання системного аналізу проблеми, визначення питомого внеску кожного з структурних компонентів до кінцевого результату;</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рівень інтегрального індикатору забезпечення ефективної мотивації праці у роздрібній торгівлі споживчої кооперації Полтавського регіону в контексті підвищення якості життя має суттєву територіальну диференціацію;</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найвищій рівень інтегрального індикатору забезпечення ефективної мотивації праці у роздрібній торгівлі споживчої кооперації в контексті підвищення якості життя мають території з розвиненою соціальною інфраструктурою, високими показниками матеріальної винагороди, гарантіями отримання певного доходу, високою результативністю зайнятості та розвиненим станом роздрібної торгівлі споживчої кооперації, високим рівнем освіти та здоров'я;</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 xml:space="preserve">найнижчій рівень інтегрального індикатору мають території, у </w:t>
      </w:r>
      <w:proofErr w:type="spellStart"/>
      <w:r w:rsidRPr="005315FD">
        <w:rPr>
          <w:rFonts w:ascii="Times New Roman" w:eastAsia="Times New Roman" w:hAnsi="Times New Roman" w:cs="Times New Roman"/>
          <w:color w:val="000000"/>
          <w:sz w:val="20"/>
          <w:szCs w:val="20"/>
          <w:lang w:val="uk-UA" w:eastAsia="ru-RU"/>
        </w:rPr>
        <w:t>яких  ни</w:t>
      </w:r>
      <w:proofErr w:type="spellEnd"/>
      <w:r w:rsidRPr="005315FD">
        <w:rPr>
          <w:rFonts w:ascii="Times New Roman" w:eastAsia="Times New Roman" w:hAnsi="Times New Roman" w:cs="Times New Roman"/>
          <w:color w:val="000000"/>
          <w:sz w:val="20"/>
          <w:szCs w:val="20"/>
          <w:lang w:val="uk-UA" w:eastAsia="ru-RU"/>
        </w:rPr>
        <w:t>зький рівень матеріальної винагороди, негативні показники гарантії отримання мінімального доходу, результатів діяльності, стану роздрібної торгівлі, освіти, житла та здоров'я.</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У цілому диференціація територій Полтавського регіону зумовлена нерівномірністю економічного розвитку, існуючою різницею в обсягах наявних ресурсних потенціалів та ефективності їх використання.</w:t>
      </w:r>
    </w:p>
    <w:p w:rsidR="005315FD" w:rsidRDefault="005315FD" w:rsidP="005315FD">
      <w:pPr>
        <w:spacing w:after="0" w:line="240" w:lineRule="auto"/>
        <w:ind w:firstLine="567"/>
        <w:jc w:val="both"/>
        <w:rPr>
          <w:rFonts w:ascii="Times New Roman" w:eastAsia="Times New Roman" w:hAnsi="Times New Roman" w:cs="Times New Roman"/>
          <w:b/>
          <w:bCs/>
          <w:color w:val="000000"/>
          <w:sz w:val="20"/>
          <w:szCs w:val="20"/>
          <w:lang w:val="en-US" w:eastAsia="ru-RU"/>
        </w:rPr>
      </w:pP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b/>
          <w:bCs/>
          <w:caps/>
          <w:color w:val="000000"/>
          <w:sz w:val="20"/>
          <w:szCs w:val="20"/>
          <w:lang w:val="uk-UA" w:eastAsia="ru-RU"/>
        </w:rPr>
        <w:t>ПЕРЕЛІК ВИКОРИСТАНИХ ДЖЕРЕЛ</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b/>
          <w:bCs/>
          <w:caps/>
          <w:color w:val="000000"/>
          <w:sz w:val="20"/>
          <w:szCs w:val="20"/>
          <w:lang w:val="en-US" w:eastAsia="ru-RU"/>
        </w:rPr>
        <w:t> </w:t>
      </w:r>
    </w:p>
    <w:p w:rsidR="005315FD" w:rsidRPr="005315FD" w:rsidRDefault="005315FD" w:rsidP="005315FD">
      <w:pPr>
        <w:spacing w:after="0" w:line="240" w:lineRule="auto"/>
        <w:ind w:left="900" w:hanging="360"/>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1.</w:t>
      </w:r>
      <w:r w:rsidRPr="005315FD">
        <w:rPr>
          <w:rFonts w:ascii="Times New Roman" w:eastAsia="Times New Roman" w:hAnsi="Times New Roman" w:cs="Times New Roman"/>
          <w:color w:val="000000"/>
          <w:sz w:val="14"/>
          <w:szCs w:val="14"/>
          <w:lang w:val="uk-UA" w:eastAsia="ru-RU"/>
        </w:rPr>
        <w:t>        </w:t>
      </w:r>
      <w:r w:rsidRPr="005315FD">
        <w:rPr>
          <w:rFonts w:ascii="Times New Roman" w:eastAsia="Times New Roman" w:hAnsi="Times New Roman" w:cs="Times New Roman"/>
          <w:color w:val="000000"/>
          <w:sz w:val="20"/>
          <w:szCs w:val="20"/>
          <w:lang w:val="uk-UA" w:eastAsia="ru-RU"/>
        </w:rPr>
        <w:t xml:space="preserve"> Людський розвиток регіонів України: аналіз та прогноз : [колективна монографія] / Е. М. </w:t>
      </w:r>
      <w:proofErr w:type="spellStart"/>
      <w:r w:rsidRPr="005315FD">
        <w:rPr>
          <w:rFonts w:ascii="Times New Roman" w:eastAsia="Times New Roman" w:hAnsi="Times New Roman" w:cs="Times New Roman"/>
          <w:color w:val="000000"/>
          <w:sz w:val="20"/>
          <w:szCs w:val="20"/>
          <w:lang w:val="uk-UA" w:eastAsia="ru-RU"/>
        </w:rPr>
        <w:t>Лібанова</w:t>
      </w:r>
      <w:proofErr w:type="spellEnd"/>
      <w:r w:rsidRPr="005315FD">
        <w:rPr>
          <w:rFonts w:ascii="Times New Roman" w:eastAsia="Times New Roman" w:hAnsi="Times New Roman" w:cs="Times New Roman"/>
          <w:color w:val="000000"/>
          <w:sz w:val="20"/>
          <w:szCs w:val="20"/>
          <w:lang w:val="uk-UA" w:eastAsia="ru-RU"/>
        </w:rPr>
        <w:t xml:space="preserve">, Н. С. </w:t>
      </w:r>
      <w:proofErr w:type="spellStart"/>
      <w:r w:rsidRPr="005315FD">
        <w:rPr>
          <w:rFonts w:ascii="Times New Roman" w:eastAsia="Times New Roman" w:hAnsi="Times New Roman" w:cs="Times New Roman"/>
          <w:color w:val="000000"/>
          <w:sz w:val="20"/>
          <w:szCs w:val="20"/>
          <w:lang w:val="uk-UA" w:eastAsia="ru-RU"/>
        </w:rPr>
        <w:t>Власенко</w:t>
      </w:r>
      <w:proofErr w:type="spellEnd"/>
      <w:r w:rsidRPr="005315FD">
        <w:rPr>
          <w:rFonts w:ascii="Times New Roman" w:eastAsia="Times New Roman" w:hAnsi="Times New Roman" w:cs="Times New Roman"/>
          <w:color w:val="000000"/>
          <w:sz w:val="20"/>
          <w:szCs w:val="20"/>
          <w:lang w:val="uk-UA" w:eastAsia="ru-RU"/>
        </w:rPr>
        <w:t xml:space="preserve">, О. С. Власик та ін. / за ред. Е. М. </w:t>
      </w:r>
      <w:proofErr w:type="spellStart"/>
      <w:r w:rsidRPr="005315FD">
        <w:rPr>
          <w:rFonts w:ascii="Times New Roman" w:eastAsia="Times New Roman" w:hAnsi="Times New Roman" w:cs="Times New Roman"/>
          <w:color w:val="000000"/>
          <w:sz w:val="20"/>
          <w:szCs w:val="20"/>
          <w:lang w:val="uk-UA" w:eastAsia="ru-RU"/>
        </w:rPr>
        <w:t>Лібанової</w:t>
      </w:r>
      <w:proofErr w:type="spellEnd"/>
      <w:r w:rsidRPr="005315FD">
        <w:rPr>
          <w:rFonts w:ascii="Times New Roman" w:eastAsia="Times New Roman" w:hAnsi="Times New Roman" w:cs="Times New Roman"/>
          <w:color w:val="000000"/>
          <w:sz w:val="20"/>
          <w:szCs w:val="20"/>
          <w:lang w:val="uk-UA" w:eastAsia="ru-RU"/>
        </w:rPr>
        <w:t>. – К. : Ін-т демографії та соціальних досліджень НАН України, 2007. – 328 с.</w:t>
      </w:r>
    </w:p>
    <w:p w:rsidR="005315FD" w:rsidRPr="005315FD" w:rsidRDefault="005315FD" w:rsidP="005315FD">
      <w:pPr>
        <w:spacing w:after="0" w:line="240" w:lineRule="auto"/>
        <w:ind w:left="900" w:hanging="360"/>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2.</w:t>
      </w:r>
      <w:r w:rsidRPr="005315FD">
        <w:rPr>
          <w:rFonts w:ascii="Times New Roman" w:eastAsia="Times New Roman" w:hAnsi="Times New Roman" w:cs="Times New Roman"/>
          <w:color w:val="000000"/>
          <w:sz w:val="14"/>
          <w:szCs w:val="14"/>
          <w:lang w:val="uk-UA" w:eastAsia="ru-RU"/>
        </w:rPr>
        <w:t>        </w:t>
      </w:r>
      <w:r w:rsidRPr="005315FD">
        <w:rPr>
          <w:rFonts w:ascii="Times New Roman" w:eastAsia="Times New Roman" w:hAnsi="Times New Roman" w:cs="Times New Roman"/>
          <w:color w:val="000000"/>
          <w:sz w:val="20"/>
          <w:szCs w:val="20"/>
          <w:lang w:val="uk-UA" w:eastAsia="ru-RU"/>
        </w:rPr>
        <w:t xml:space="preserve"> Статистичний щорічник Полтавської області за 2010 р. : [за ред. Т. П. </w:t>
      </w:r>
      <w:proofErr w:type="spellStart"/>
      <w:r w:rsidRPr="005315FD">
        <w:rPr>
          <w:rFonts w:ascii="Times New Roman" w:eastAsia="Times New Roman" w:hAnsi="Times New Roman" w:cs="Times New Roman"/>
          <w:color w:val="000000"/>
          <w:sz w:val="20"/>
          <w:szCs w:val="20"/>
          <w:lang w:val="uk-UA" w:eastAsia="ru-RU"/>
        </w:rPr>
        <w:t>Бугайченко</w:t>
      </w:r>
      <w:proofErr w:type="spellEnd"/>
      <w:r w:rsidRPr="005315FD">
        <w:rPr>
          <w:rFonts w:ascii="Times New Roman" w:eastAsia="Times New Roman" w:hAnsi="Times New Roman" w:cs="Times New Roman"/>
          <w:color w:val="000000"/>
          <w:sz w:val="20"/>
          <w:szCs w:val="20"/>
          <w:lang w:val="uk-UA" w:eastAsia="ru-RU"/>
        </w:rPr>
        <w:t xml:space="preserve">]. – Полтава : </w:t>
      </w:r>
      <w:proofErr w:type="spellStart"/>
      <w:r w:rsidRPr="005315FD">
        <w:rPr>
          <w:rFonts w:ascii="Times New Roman" w:eastAsia="Times New Roman" w:hAnsi="Times New Roman" w:cs="Times New Roman"/>
          <w:color w:val="000000"/>
          <w:sz w:val="20"/>
          <w:szCs w:val="20"/>
          <w:lang w:val="uk-UA" w:eastAsia="ru-RU"/>
        </w:rPr>
        <w:t>Лтава</w:t>
      </w:r>
      <w:proofErr w:type="spellEnd"/>
      <w:r w:rsidRPr="005315FD">
        <w:rPr>
          <w:rFonts w:ascii="Times New Roman" w:eastAsia="Times New Roman" w:hAnsi="Times New Roman" w:cs="Times New Roman"/>
          <w:color w:val="000000"/>
          <w:sz w:val="20"/>
          <w:szCs w:val="20"/>
          <w:lang w:val="uk-UA" w:eastAsia="ru-RU"/>
        </w:rPr>
        <w:t>, 2011. – 414 с.</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 </w:t>
      </w:r>
    </w:p>
    <w:p w:rsidR="005315FD" w:rsidRPr="005315FD" w:rsidRDefault="005315FD" w:rsidP="005315FD">
      <w:pPr>
        <w:spacing w:after="0" w:line="240" w:lineRule="auto"/>
        <w:ind w:firstLine="567"/>
        <w:jc w:val="both"/>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i/>
          <w:iCs/>
          <w:color w:val="000000"/>
          <w:sz w:val="20"/>
          <w:szCs w:val="20"/>
          <w:lang w:val="uk-UA" w:eastAsia="ru-RU"/>
        </w:rPr>
        <w:t>Одержано 19.02.2013р.</w:t>
      </w:r>
    </w:p>
    <w:p w:rsidR="005315FD" w:rsidRPr="005315FD" w:rsidRDefault="005315FD" w:rsidP="005315FD">
      <w:pPr>
        <w:spacing w:after="0" w:line="240" w:lineRule="auto"/>
        <w:rPr>
          <w:rFonts w:ascii="Times New Roman" w:eastAsia="Times New Roman" w:hAnsi="Times New Roman" w:cs="Times New Roman"/>
          <w:color w:val="000000"/>
          <w:sz w:val="20"/>
          <w:szCs w:val="20"/>
          <w:lang w:eastAsia="ru-RU"/>
        </w:rPr>
      </w:pPr>
      <w:r w:rsidRPr="005315FD">
        <w:rPr>
          <w:rFonts w:ascii="Times New Roman" w:eastAsia="Times New Roman" w:hAnsi="Times New Roman" w:cs="Times New Roman"/>
          <w:color w:val="000000"/>
          <w:sz w:val="20"/>
          <w:szCs w:val="20"/>
          <w:lang w:val="uk-UA" w:eastAsia="ru-RU"/>
        </w:rPr>
        <w:t> </w:t>
      </w:r>
    </w:p>
    <w:p w:rsidR="005315FD" w:rsidRPr="005315FD" w:rsidRDefault="005315FD" w:rsidP="005315FD">
      <w:pPr>
        <w:spacing w:after="0" w:line="240" w:lineRule="auto"/>
        <w:rPr>
          <w:rFonts w:ascii="Times New Roman" w:eastAsia="Times New Roman" w:hAnsi="Times New Roman" w:cs="Times New Roman"/>
          <w:color w:val="000000"/>
          <w:sz w:val="27"/>
          <w:szCs w:val="27"/>
          <w:lang w:eastAsia="ru-RU"/>
        </w:rPr>
      </w:pPr>
      <w:r w:rsidRPr="005315FD">
        <w:rPr>
          <w:rFonts w:ascii="Times New Roman" w:eastAsia="Times New Roman" w:hAnsi="Times New Roman" w:cs="Times New Roman"/>
          <w:color w:val="000000"/>
          <w:sz w:val="27"/>
          <w:szCs w:val="27"/>
          <w:lang w:eastAsia="ru-RU"/>
        </w:rPr>
        <w:br w:type="textWrapping" w:clear="all"/>
      </w:r>
    </w:p>
    <w:p w:rsidR="005315FD" w:rsidRPr="005315FD" w:rsidRDefault="005315FD" w:rsidP="005315FD">
      <w:pPr>
        <w:spacing w:after="0" w:line="240" w:lineRule="auto"/>
        <w:rPr>
          <w:rFonts w:ascii="Times New Roman" w:eastAsia="Times New Roman" w:hAnsi="Times New Roman" w:cs="Times New Roman"/>
          <w:color w:val="000000"/>
          <w:sz w:val="27"/>
          <w:szCs w:val="27"/>
          <w:lang w:eastAsia="ru-RU"/>
        </w:rPr>
      </w:pPr>
      <w:r w:rsidRPr="005315FD">
        <w:rPr>
          <w:rFonts w:ascii="Times New Roman" w:eastAsia="Times New Roman" w:hAnsi="Times New Roman" w:cs="Times New Roman"/>
          <w:color w:val="000000"/>
          <w:sz w:val="27"/>
          <w:szCs w:val="27"/>
          <w:lang w:eastAsia="ru-RU"/>
        </w:rPr>
        <w:pict>
          <v:rect id="_x0000_i1031" style="width:154.35pt;height:.75pt" o:hrpct="330" o:hrstd="t" o:hr="t" fillcolor="#b0aea7" stroked="f"/>
        </w:pict>
      </w:r>
    </w:p>
    <w:p w:rsidR="005315FD" w:rsidRPr="005315FD" w:rsidRDefault="005315FD" w:rsidP="005315FD">
      <w:pPr>
        <w:spacing w:after="0" w:line="240" w:lineRule="auto"/>
        <w:jc w:val="both"/>
        <w:rPr>
          <w:rFonts w:ascii="Times New Roman" w:eastAsia="Times New Roman" w:hAnsi="Times New Roman" w:cs="Times New Roman"/>
          <w:color w:val="000000"/>
          <w:sz w:val="20"/>
          <w:szCs w:val="20"/>
          <w:lang w:eastAsia="ru-RU"/>
        </w:rPr>
      </w:pPr>
      <w:bookmarkStart w:id="2" w:name="_ftn1"/>
      <w:bookmarkEnd w:id="2"/>
      <w:r w:rsidRPr="005315FD">
        <w:rPr>
          <w:rFonts w:ascii="Times New Roman" w:eastAsia="Times New Roman" w:hAnsi="Times New Roman" w:cs="Times New Roman"/>
          <w:b/>
          <w:bCs/>
          <w:color w:val="000000"/>
          <w:sz w:val="20"/>
          <w:szCs w:val="20"/>
          <w:lang w:val="uk-UA" w:eastAsia="ru-RU"/>
        </w:rPr>
        <w:t xml:space="preserve">© </w:t>
      </w:r>
      <w:proofErr w:type="spellStart"/>
      <w:r w:rsidRPr="005315FD">
        <w:rPr>
          <w:rFonts w:ascii="Times New Roman" w:eastAsia="Times New Roman" w:hAnsi="Times New Roman" w:cs="Times New Roman"/>
          <w:b/>
          <w:bCs/>
          <w:color w:val="000000"/>
          <w:sz w:val="20"/>
          <w:szCs w:val="20"/>
          <w:lang w:val="uk-UA" w:eastAsia="ru-RU"/>
        </w:rPr>
        <w:t>Тужилкіна</w:t>
      </w:r>
      <w:proofErr w:type="spellEnd"/>
      <w:r w:rsidRPr="005315FD">
        <w:rPr>
          <w:rFonts w:ascii="Times New Roman" w:eastAsia="Times New Roman" w:hAnsi="Times New Roman" w:cs="Times New Roman"/>
          <w:b/>
          <w:bCs/>
          <w:color w:val="000000"/>
          <w:sz w:val="20"/>
          <w:szCs w:val="20"/>
          <w:lang w:val="uk-UA" w:eastAsia="ru-RU"/>
        </w:rPr>
        <w:t xml:space="preserve"> Оксана Володимирівна</w:t>
      </w:r>
      <w:r w:rsidRPr="005315FD">
        <w:rPr>
          <w:rFonts w:ascii="Times New Roman" w:eastAsia="Times New Roman" w:hAnsi="Times New Roman" w:cs="Times New Roman"/>
          <w:color w:val="000000"/>
          <w:sz w:val="20"/>
          <w:szCs w:val="20"/>
          <w:lang w:val="uk-UA" w:eastAsia="ru-RU"/>
        </w:rPr>
        <w:t>, асистент кафедри управління персоналом і економіки праці ВНЗ Укоопспілки «Полтавський університет економіки і торгівлі», тел. 0956399410, </w:t>
      </w:r>
      <w:r w:rsidRPr="005315FD">
        <w:rPr>
          <w:rFonts w:ascii="Times New Roman" w:eastAsia="Times New Roman" w:hAnsi="Times New Roman" w:cs="Times New Roman"/>
          <w:color w:val="000000"/>
          <w:sz w:val="20"/>
          <w:szCs w:val="20"/>
          <w:lang w:val="en-US" w:eastAsia="ru-RU"/>
        </w:rPr>
        <w:t>e</w:t>
      </w:r>
      <w:r w:rsidRPr="005315FD">
        <w:rPr>
          <w:rFonts w:ascii="Times New Roman" w:eastAsia="Times New Roman" w:hAnsi="Times New Roman" w:cs="Times New Roman"/>
          <w:color w:val="000000"/>
          <w:sz w:val="20"/>
          <w:szCs w:val="20"/>
          <w:lang w:val="uk-UA" w:eastAsia="ru-RU"/>
        </w:rPr>
        <w:t>-</w:t>
      </w:r>
      <w:r w:rsidRPr="005315FD">
        <w:rPr>
          <w:rFonts w:ascii="Times New Roman" w:eastAsia="Times New Roman" w:hAnsi="Times New Roman" w:cs="Times New Roman"/>
          <w:color w:val="000000"/>
          <w:sz w:val="20"/>
          <w:szCs w:val="20"/>
          <w:lang w:val="en-US" w:eastAsia="ru-RU"/>
        </w:rPr>
        <w:t>mail </w:t>
      </w:r>
      <w:hyperlink r:id="rId10" w:history="1">
        <w:r w:rsidRPr="005315FD">
          <w:rPr>
            <w:rFonts w:ascii="Times New Roman" w:eastAsia="Times New Roman" w:hAnsi="Times New Roman" w:cs="Times New Roman"/>
            <w:color w:val="000000"/>
            <w:sz w:val="20"/>
            <w:szCs w:val="20"/>
            <w:u w:val="single"/>
            <w:lang w:val="en-US" w:eastAsia="ru-RU"/>
          </w:rPr>
          <w:t>oks</w:t>
        </w:r>
        <w:r w:rsidRPr="005315FD">
          <w:rPr>
            <w:rFonts w:ascii="Times New Roman" w:eastAsia="Times New Roman" w:hAnsi="Times New Roman" w:cs="Times New Roman"/>
            <w:color w:val="000000"/>
            <w:sz w:val="20"/>
            <w:szCs w:val="20"/>
            <w:u w:val="single"/>
            <w:lang w:val="uk-UA" w:eastAsia="ru-RU"/>
          </w:rPr>
          <w:t>7843@</w:t>
        </w:r>
        <w:proofErr w:type="spellStart"/>
        <w:r w:rsidRPr="005315FD">
          <w:rPr>
            <w:rFonts w:ascii="Times New Roman" w:eastAsia="Times New Roman" w:hAnsi="Times New Roman" w:cs="Times New Roman"/>
            <w:color w:val="000000"/>
            <w:sz w:val="20"/>
            <w:szCs w:val="20"/>
            <w:u w:val="single"/>
            <w:lang w:val="en-US" w:eastAsia="ru-RU"/>
          </w:rPr>
          <w:t>yandex</w:t>
        </w:r>
        <w:proofErr w:type="spellEnd"/>
        <w:r w:rsidRPr="005315FD">
          <w:rPr>
            <w:rFonts w:ascii="Times New Roman" w:eastAsia="Times New Roman" w:hAnsi="Times New Roman" w:cs="Times New Roman"/>
            <w:color w:val="000000"/>
            <w:sz w:val="20"/>
            <w:szCs w:val="20"/>
            <w:u w:val="single"/>
            <w:lang w:val="uk-UA" w:eastAsia="ru-RU"/>
          </w:rPr>
          <w:t>.</w:t>
        </w:r>
        <w:proofErr w:type="spellStart"/>
        <w:r w:rsidRPr="005315FD">
          <w:rPr>
            <w:rFonts w:ascii="Times New Roman" w:eastAsia="Times New Roman" w:hAnsi="Times New Roman" w:cs="Times New Roman"/>
            <w:color w:val="000000"/>
            <w:sz w:val="20"/>
            <w:szCs w:val="20"/>
            <w:u w:val="single"/>
            <w:lang w:val="en-US" w:eastAsia="ru-RU"/>
          </w:rPr>
          <w:t>ru</w:t>
        </w:r>
        <w:proofErr w:type="spellEnd"/>
      </w:hyperlink>
    </w:p>
    <w:p w:rsidR="009F5805" w:rsidRDefault="009F5805"/>
    <w:sectPr w:rsidR="009F5805" w:rsidSect="009F5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15FD"/>
    <w:rsid w:val="00000286"/>
    <w:rsid w:val="00011460"/>
    <w:rsid w:val="0002196D"/>
    <w:rsid w:val="0002436A"/>
    <w:rsid w:val="00025764"/>
    <w:rsid w:val="000352D8"/>
    <w:rsid w:val="00052F54"/>
    <w:rsid w:val="000546F9"/>
    <w:rsid w:val="00054E98"/>
    <w:rsid w:val="00062CA4"/>
    <w:rsid w:val="00072880"/>
    <w:rsid w:val="000A4B5F"/>
    <w:rsid w:val="000C1091"/>
    <w:rsid w:val="000E25F7"/>
    <w:rsid w:val="000E7C59"/>
    <w:rsid w:val="00103C38"/>
    <w:rsid w:val="00120C99"/>
    <w:rsid w:val="0012602E"/>
    <w:rsid w:val="00131FFB"/>
    <w:rsid w:val="00140432"/>
    <w:rsid w:val="0015326A"/>
    <w:rsid w:val="001642EA"/>
    <w:rsid w:val="0016476B"/>
    <w:rsid w:val="00165196"/>
    <w:rsid w:val="001706ED"/>
    <w:rsid w:val="0017348C"/>
    <w:rsid w:val="00176742"/>
    <w:rsid w:val="00180CFF"/>
    <w:rsid w:val="00181F5D"/>
    <w:rsid w:val="0019144F"/>
    <w:rsid w:val="0019616D"/>
    <w:rsid w:val="001B1771"/>
    <w:rsid w:val="001C082C"/>
    <w:rsid w:val="001F0595"/>
    <w:rsid w:val="00200DCD"/>
    <w:rsid w:val="00225684"/>
    <w:rsid w:val="00233CAC"/>
    <w:rsid w:val="00235F81"/>
    <w:rsid w:val="002360BF"/>
    <w:rsid w:val="002422CD"/>
    <w:rsid w:val="002465C7"/>
    <w:rsid w:val="00252F6F"/>
    <w:rsid w:val="00264121"/>
    <w:rsid w:val="00265CF9"/>
    <w:rsid w:val="00283980"/>
    <w:rsid w:val="00285D7F"/>
    <w:rsid w:val="00296FDE"/>
    <w:rsid w:val="002B0533"/>
    <w:rsid w:val="002B05E3"/>
    <w:rsid w:val="002C6E66"/>
    <w:rsid w:val="002C7FDF"/>
    <w:rsid w:val="002E2D31"/>
    <w:rsid w:val="002E606F"/>
    <w:rsid w:val="002F2919"/>
    <w:rsid w:val="002F724C"/>
    <w:rsid w:val="003017C1"/>
    <w:rsid w:val="003307E9"/>
    <w:rsid w:val="0033144D"/>
    <w:rsid w:val="00345B7F"/>
    <w:rsid w:val="00347F05"/>
    <w:rsid w:val="00366510"/>
    <w:rsid w:val="00386FB7"/>
    <w:rsid w:val="003A0831"/>
    <w:rsid w:val="003A4317"/>
    <w:rsid w:val="003E0910"/>
    <w:rsid w:val="003F28C1"/>
    <w:rsid w:val="0041081F"/>
    <w:rsid w:val="004169A8"/>
    <w:rsid w:val="004356BE"/>
    <w:rsid w:val="00435A95"/>
    <w:rsid w:val="00442DAE"/>
    <w:rsid w:val="004724FD"/>
    <w:rsid w:val="0047367D"/>
    <w:rsid w:val="004810C1"/>
    <w:rsid w:val="004845D4"/>
    <w:rsid w:val="004855D4"/>
    <w:rsid w:val="004A0A83"/>
    <w:rsid w:val="004A603E"/>
    <w:rsid w:val="004B78E0"/>
    <w:rsid w:val="004E25F3"/>
    <w:rsid w:val="004E2A5C"/>
    <w:rsid w:val="004F77EB"/>
    <w:rsid w:val="005077DD"/>
    <w:rsid w:val="005315FD"/>
    <w:rsid w:val="00547FAC"/>
    <w:rsid w:val="005810FF"/>
    <w:rsid w:val="0058431C"/>
    <w:rsid w:val="005A5539"/>
    <w:rsid w:val="005B028D"/>
    <w:rsid w:val="005E42DD"/>
    <w:rsid w:val="005E665A"/>
    <w:rsid w:val="005F3C79"/>
    <w:rsid w:val="005F76E8"/>
    <w:rsid w:val="00600072"/>
    <w:rsid w:val="00606247"/>
    <w:rsid w:val="006130E0"/>
    <w:rsid w:val="006140E7"/>
    <w:rsid w:val="0063192F"/>
    <w:rsid w:val="006502E9"/>
    <w:rsid w:val="006574D3"/>
    <w:rsid w:val="006629C3"/>
    <w:rsid w:val="00676740"/>
    <w:rsid w:val="006A5ADE"/>
    <w:rsid w:val="007349F2"/>
    <w:rsid w:val="00751881"/>
    <w:rsid w:val="00754DB6"/>
    <w:rsid w:val="00794EC8"/>
    <w:rsid w:val="007A0175"/>
    <w:rsid w:val="007B7A23"/>
    <w:rsid w:val="007D02F3"/>
    <w:rsid w:val="007D0405"/>
    <w:rsid w:val="007D49C3"/>
    <w:rsid w:val="007D7EF2"/>
    <w:rsid w:val="007E3B51"/>
    <w:rsid w:val="007E5E79"/>
    <w:rsid w:val="00810C5E"/>
    <w:rsid w:val="008150A5"/>
    <w:rsid w:val="008349C2"/>
    <w:rsid w:val="00857C84"/>
    <w:rsid w:val="008747B6"/>
    <w:rsid w:val="00897721"/>
    <w:rsid w:val="008B01BE"/>
    <w:rsid w:val="008B49BE"/>
    <w:rsid w:val="008B5787"/>
    <w:rsid w:val="008C51C7"/>
    <w:rsid w:val="008F3D15"/>
    <w:rsid w:val="008F4814"/>
    <w:rsid w:val="009074C0"/>
    <w:rsid w:val="0091137A"/>
    <w:rsid w:val="0093362F"/>
    <w:rsid w:val="00963724"/>
    <w:rsid w:val="00972DEA"/>
    <w:rsid w:val="00973149"/>
    <w:rsid w:val="00975564"/>
    <w:rsid w:val="00984726"/>
    <w:rsid w:val="00991D85"/>
    <w:rsid w:val="009A6FCC"/>
    <w:rsid w:val="009E40C9"/>
    <w:rsid w:val="009E452A"/>
    <w:rsid w:val="009F5805"/>
    <w:rsid w:val="00A10D12"/>
    <w:rsid w:val="00A17DAC"/>
    <w:rsid w:val="00A32725"/>
    <w:rsid w:val="00A3353F"/>
    <w:rsid w:val="00A741D4"/>
    <w:rsid w:val="00A8359A"/>
    <w:rsid w:val="00A8367B"/>
    <w:rsid w:val="00A96AFC"/>
    <w:rsid w:val="00AB0B94"/>
    <w:rsid w:val="00AC70AD"/>
    <w:rsid w:val="00AD0DB0"/>
    <w:rsid w:val="00AD252F"/>
    <w:rsid w:val="00AD2823"/>
    <w:rsid w:val="00AD3F1F"/>
    <w:rsid w:val="00AF348D"/>
    <w:rsid w:val="00B00FDA"/>
    <w:rsid w:val="00B07147"/>
    <w:rsid w:val="00B7205D"/>
    <w:rsid w:val="00B87FF2"/>
    <w:rsid w:val="00B94A49"/>
    <w:rsid w:val="00BA52DE"/>
    <w:rsid w:val="00BC14F8"/>
    <w:rsid w:val="00BD13BC"/>
    <w:rsid w:val="00C12AF9"/>
    <w:rsid w:val="00C1565F"/>
    <w:rsid w:val="00C202E7"/>
    <w:rsid w:val="00C20569"/>
    <w:rsid w:val="00C27920"/>
    <w:rsid w:val="00C31DC4"/>
    <w:rsid w:val="00C35C83"/>
    <w:rsid w:val="00C56777"/>
    <w:rsid w:val="00C743EC"/>
    <w:rsid w:val="00C75492"/>
    <w:rsid w:val="00CC06DB"/>
    <w:rsid w:val="00CC1DD8"/>
    <w:rsid w:val="00CE3D8E"/>
    <w:rsid w:val="00CF381F"/>
    <w:rsid w:val="00D025CC"/>
    <w:rsid w:val="00D43BD8"/>
    <w:rsid w:val="00D541D9"/>
    <w:rsid w:val="00D96DA7"/>
    <w:rsid w:val="00DA6C5C"/>
    <w:rsid w:val="00DB05D3"/>
    <w:rsid w:val="00DB62B0"/>
    <w:rsid w:val="00DB69E3"/>
    <w:rsid w:val="00DC2312"/>
    <w:rsid w:val="00DC3DCB"/>
    <w:rsid w:val="00DD4E3C"/>
    <w:rsid w:val="00DE4820"/>
    <w:rsid w:val="00E11092"/>
    <w:rsid w:val="00E145F9"/>
    <w:rsid w:val="00E1517A"/>
    <w:rsid w:val="00E16246"/>
    <w:rsid w:val="00E342D4"/>
    <w:rsid w:val="00E517C1"/>
    <w:rsid w:val="00E6367A"/>
    <w:rsid w:val="00E67C66"/>
    <w:rsid w:val="00E97D29"/>
    <w:rsid w:val="00EB01C7"/>
    <w:rsid w:val="00EC1B7B"/>
    <w:rsid w:val="00EE54E2"/>
    <w:rsid w:val="00F032D8"/>
    <w:rsid w:val="00F12B04"/>
    <w:rsid w:val="00F25878"/>
    <w:rsid w:val="00F4180B"/>
    <w:rsid w:val="00F42FED"/>
    <w:rsid w:val="00F70889"/>
    <w:rsid w:val="00FA5AA9"/>
    <w:rsid w:val="00FB7AB0"/>
    <w:rsid w:val="00FC39CC"/>
    <w:rsid w:val="00FC7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05"/>
  </w:style>
  <w:style w:type="paragraph" w:styleId="3">
    <w:name w:val="heading 3"/>
    <w:basedOn w:val="a"/>
    <w:link w:val="30"/>
    <w:uiPriority w:val="9"/>
    <w:qFormat/>
    <w:rsid w:val="005315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15F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315FD"/>
  </w:style>
  <w:style w:type="character" w:styleId="a3">
    <w:name w:val="Hyperlink"/>
    <w:basedOn w:val="a0"/>
    <w:uiPriority w:val="99"/>
    <w:semiHidden/>
    <w:unhideWhenUsed/>
    <w:rsid w:val="005315FD"/>
    <w:rPr>
      <w:color w:val="0000FF"/>
      <w:u w:val="single"/>
    </w:rPr>
  </w:style>
  <w:style w:type="character" w:styleId="a4">
    <w:name w:val="footnote reference"/>
    <w:basedOn w:val="a0"/>
    <w:uiPriority w:val="99"/>
    <w:semiHidden/>
    <w:unhideWhenUsed/>
    <w:rsid w:val="005315FD"/>
  </w:style>
  <w:style w:type="paragraph" w:customStyle="1" w:styleId="western">
    <w:name w:val="western"/>
    <w:basedOn w:val="a"/>
    <w:rsid w:val="00531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31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5315FD"/>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531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5315FD"/>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531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5315F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315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1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5851">
      <w:bodyDiv w:val="1"/>
      <w:marLeft w:val="0"/>
      <w:marRight w:val="0"/>
      <w:marTop w:val="0"/>
      <w:marBottom w:val="0"/>
      <w:divBdr>
        <w:top w:val="none" w:sz="0" w:space="0" w:color="auto"/>
        <w:left w:val="none" w:sz="0" w:space="0" w:color="auto"/>
        <w:bottom w:val="none" w:sz="0" w:space="0" w:color="auto"/>
        <w:right w:val="none" w:sz="0" w:space="0" w:color="auto"/>
      </w:divBdr>
      <w:divsChild>
        <w:div w:id="607127223">
          <w:marLeft w:val="0"/>
          <w:marRight w:val="0"/>
          <w:marTop w:val="0"/>
          <w:marBottom w:val="0"/>
          <w:divBdr>
            <w:top w:val="none" w:sz="0" w:space="0" w:color="auto"/>
            <w:left w:val="none" w:sz="0" w:space="0" w:color="auto"/>
            <w:bottom w:val="none" w:sz="0" w:space="0" w:color="auto"/>
            <w:right w:val="none" w:sz="0" w:space="0" w:color="auto"/>
          </w:divBdr>
          <w:divsChild>
            <w:div w:id="8806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oks7843@yandex.r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2017-08-28T06:36:00Z</dcterms:created>
  <dcterms:modified xsi:type="dcterms:W3CDTF">2017-08-28T06:40:00Z</dcterms:modified>
</cp:coreProperties>
</file>