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55" w:rsidRPr="008F7B55" w:rsidRDefault="008F7B55" w:rsidP="008F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УДК 330.88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Юхименко В.В.,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Шульгіна Л.М.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8F7B55" w:rsidRPr="008F7B55" w:rsidRDefault="008F7B55" w:rsidP="008F7B5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8F7B55">
        <w:rPr>
          <w:rFonts w:ascii="Courier New" w:eastAsia="Times New Roman" w:hAnsi="Courier New" w:cs="Courier New"/>
          <w:b/>
          <w:bCs/>
          <w:caps/>
          <w:color w:val="000000"/>
          <w:sz w:val="28"/>
          <w:szCs w:val="28"/>
          <w:lang w:val="uk-UA" w:eastAsia="ru-RU"/>
        </w:rPr>
        <w:t>АНАЛІЗ ФІНАНСОВОЇ СТІЙКОСТІ ПІДПРИЄМСТВ ЗАЛІЗНИЧНОГО МАШИНОБУДУВАННЯ У КОНТЕКСТІ СТРАТЕГІЧНОГО УПРАВЛІННЯ ІННОВАЦІЙНИМ РОЗВИТКОМ</w:t>
      </w:r>
    </w:p>
    <w:bookmarkEnd w:id="0"/>
    <w:p w:rsidR="008F7B55" w:rsidRPr="008F7B55" w:rsidRDefault="008F7B55" w:rsidP="008F7B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У статті проведено аналіз фінансової стійкості провідних підприємств залізничного машинобудування України. Автори розглядають рівень доходів, обсяги виробництва і показники фінансового стану у контексті стратегічного управління інноваційним розвитком компаній. На основі цих критеріїв здійснене групування та встановлено причинно-наслідкові зв’язки у процесі стратегічного управління інноваційним розвитком досліджуваних підприємств.</w:t>
      </w:r>
    </w:p>
    <w:p w:rsidR="008F7B55" w:rsidRPr="008F7B55" w:rsidRDefault="008F7B55" w:rsidP="008F7B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Ключові слова:</w:t>
      </w:r>
      <w:r w:rsidRPr="008F7B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фінансова стійкість, конкурентні переваги, стратегічне управління, інноваційний розвиток, залізничне машинобудування.</w:t>
      </w:r>
    </w:p>
    <w:p w:rsidR="008F7B55" w:rsidRPr="008F7B55" w:rsidRDefault="008F7B55" w:rsidP="008F7B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ВСТУП</w:t>
      </w:r>
      <w:bookmarkStart w:id="1" w:name="_ftnref1"/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begin"/>
      </w: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instrText xml:space="preserve"> HYPERLINK "file:///C:\\Documents%20and%20Settings\\Admin\\%D0%A0%D0%B0%D0%B1%D0%BE%D1%87%D0%B8%D0%B9%20%D1%81%D1%82%D0%BE%D0%BB\\visnyk_1(38)\\statti\\63.htm" \l "_ftn1" \o "" </w:instrText>
      </w: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separate"/>
      </w:r>
      <w:r w:rsidRPr="008F7B55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u w:val="single"/>
          <w:vertAlign w:val="superscript"/>
          <w:lang w:val="uk-UA" w:eastAsia="ru-RU"/>
        </w:rPr>
        <w:t>[1]</w:t>
      </w: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end"/>
      </w:r>
      <w:bookmarkEnd w:id="1"/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Проблеми стратегічного управління інноваційним розвитком підприємств розглядаються у роботах зарубіжних і вітчизняних науковців. Зокрема, Ч. Кім стверджує, що суб`єкт господарювання має створювати свій унікальний товар чи послугу, заповнювати незайняті ніші і бути унікальним, що забезпечить йому безперечне виживання та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позиціювання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 умовах жорсткого конкурентного тиску [8].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К. Крістен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сен вважає, що ключовими у процесі стратегічного управління є фактори «підривного» зростання [2].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Г. Мінцб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ерг визначає «п'ять П» стратегії, які взаємопов'язані, тобто можуть використовуватися лише в комплексі [3].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І. Нон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ака та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Х. Таке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учі основним завданням підприємства вважають поступову трансформацію неформалізованого знання окремих співробітників у загальний масив формалізованих знань підприємства [9].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Г. Ха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мел та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К. Праха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лат основою стратегічного управління інноваційним розвитком вважають галузеве лідерство і створення конкурентних переваг на ринках майбутнього за рахунок формування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компетенцій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працівників [7].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З.Є. Шерш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ньова наголошує, що кожна з вищеперерахованих концепцій акцентує увагу на певних моделях і методах розробки стратегій [6]. Однак, практика використання стратегічного управління доводить, що, з одного боку, немає єдиного «ідеального» підходу, а з іншого, – існують елементи, що їх використовують усі автори.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 метою встановлення причинно-наслідкових зв’язків у процесі стратегічного управління інноваційним розвитком підприємств залізничного машинобудування (ЗМ), ми припустили, що їх доходи, обсяги виробництва та фінансова стійкість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детермінуються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умінням керівництва стратегічно мислити. Інакше кажучи, чим більше підприємство заробляє та виготовляє продукції, тим якісніший у нього процес стратегічного управління інноваційним розвитком. Дослідження проводилося на основі вибірки підприємств ЗМ, які за критеріями доходів та обсягів виробництва поділили на 3 групи.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І-ої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групи (з найвищими значеннями названих критеріїв) увійшли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такі  підприє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мства ЗМ: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Крюківський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Вагонобудiвний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Завод» та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Азовзагальмаш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ІІ-ої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групи ввійшли 4 підприємства ЗМ: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Днiпровагонмаш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», ПАТ »Стахановський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вагонобудiвний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завод», ВАТ «ХК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Луганськтепловоз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 та ПАТ »Дизельний завод». У 2011 р. вони отримали менші доходи ніж лідери галузі, проте входять до переліку 200 провідних компаній України.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Підприємства з найменшими значеннями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критеріальних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показників сформували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ІІІ-тю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групу, а саме: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ПрАТ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«Київський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електровагоноремонтний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завод», П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АТ »Полтавхi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ммаш», НВП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Смiлянський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електромеханiчний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завод» та ПАТ »Верхньодніпровський машинобудівний завод».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РЕЗУЛЬТАТИ ДОСЛІДЖЕННЯ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Розрахунок основних фінансових показників діяльності досліджуваних підприємств здійснили з урахуванням ваги кожного з них у визначенні фінансового стану підприємства (табл. 1).</w:t>
      </w:r>
    </w:p>
    <w:p w:rsid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/>
      </w:r>
    </w:p>
    <w:p w:rsid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B55" w:rsidRPr="008F7B55" w:rsidRDefault="008F7B55" w:rsidP="008F7B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Таблиця 1. Показники оцінки фінансового ризику підприємств у 2011 р.</w:t>
      </w:r>
    </w:p>
    <w:tbl>
      <w:tblPr>
        <w:tblW w:w="4950" w:type="pct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924"/>
        <w:gridCol w:w="376"/>
        <w:gridCol w:w="960"/>
        <w:gridCol w:w="687"/>
        <w:gridCol w:w="1039"/>
        <w:gridCol w:w="1109"/>
        <w:gridCol w:w="350"/>
        <w:gridCol w:w="419"/>
        <w:gridCol w:w="443"/>
        <w:gridCol w:w="912"/>
        <w:gridCol w:w="396"/>
      </w:tblGrid>
      <w:tr w:rsidR="008F7B55" w:rsidRPr="008F7B55" w:rsidTr="008F7B55">
        <w:trPr>
          <w:cantSplit/>
          <w:trHeight w:val="1857"/>
        </w:trPr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Рекомендовані значення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КВБЗ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Азовзагальмаш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Дизельний завод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Дніпровагонмаш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Луганськтепловоз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СВЗ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ВДМЗ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КЕВРЗ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Полтавхіммаш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СЕМЗ</w:t>
            </w:r>
          </w:p>
        </w:tc>
      </w:tr>
      <w:tr w:rsidR="008F7B55" w:rsidRPr="008F7B55" w:rsidTr="008F7B55">
        <w:trPr>
          <w:cantSplit/>
          <w:trHeight w:val="1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 група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 група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 група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абсолютної ліквідності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&gt;0,2-0,7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0,472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0,479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0,013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проміжної ліквідності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min</w:t>
            </w:r>
            <w:proofErr w:type="spellEnd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0,7-0,8,</w:t>
            </w:r>
          </w:p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opt</w:t>
            </w:r>
            <w:proofErr w:type="spellEnd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&gt;1,5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1,685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1,627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1,447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1,181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0,398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0,704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поточної ліквідності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min</w:t>
            </w:r>
            <w:proofErr w:type="spellEnd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1,0,</w:t>
            </w:r>
          </w:p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opt</w:t>
            </w:r>
            <w:proofErr w:type="spellEnd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&gt;2,0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3,478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0,946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2,092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1,649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1,523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1,886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1,566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1,380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Частка оборотних коштів в активах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&gt;0,5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0,671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незалежності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0,4-0,6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0,468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0,252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забезпечення власними засобами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min</w:t>
            </w:r>
            <w:proofErr w:type="spellEnd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0,1,</w:t>
            </w:r>
          </w:p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opt</w:t>
            </w:r>
            <w:proofErr w:type="spellEnd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0,5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0,916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-0,199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2,947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1,139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0,001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фінансової стійкості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0,712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-0,127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0,468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0,001</w:t>
            </w:r>
          </w:p>
        </w:tc>
      </w:tr>
      <w:tr w:rsidR="008F7B55" w:rsidRPr="008F7B55" w:rsidTr="008F7B55">
        <w:trPr>
          <w:trHeight w:val="300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капіталізації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&lt;1,0-1,5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68,551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8,231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12,750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2,336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1,138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0,272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2,925</w:t>
            </w:r>
          </w:p>
        </w:tc>
      </w:tr>
    </w:tbl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Розв’язання проблеми фінансування інноваційних процесів і стимулювання інноваційної активності вітчизняних підприємств залізничного машинобудування спонукає компанії проводити подальші дослідження в напрямку розробки ефективних шляхів, форм і методів фінансового забезпечення інноваційних процесів у цьому комплексі.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Підприємства залізничного машинобудування мають складні фінансові потоки, що обумовлює необхідність постійного контролю за ризиками їх фінансової неспроможності. Найбільш поширеним методом оцінки таких ризиків є модель комплексної балової оцінки фінансового стану підприємства. Інтегральна модель, що використана для класифікації підприємств за фінансовими ризиками, включає фактори, які характеризують платоспроможність, фінансову стійкість і незалежність підприємства.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Дані табл. 1 використані для подальших розрахунків ризику неплатоспроможності підприємств залізничного машинобудування (табл. 2). На основі наукових досліджень [1; 5] здійснено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ранжування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наведених показників (з використанням вагового коефіцієнта).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/>
      </w:r>
    </w:p>
    <w:p w:rsidR="008F7B55" w:rsidRPr="008F7B55" w:rsidRDefault="008F7B55" w:rsidP="008F7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Таблиця 2. Показники фінансового стану підприємств залізничного машинобудування у балах, за 2011 р.</w:t>
      </w:r>
    </w:p>
    <w:tbl>
      <w:tblPr>
        <w:tblW w:w="10941" w:type="dxa"/>
        <w:tblInd w:w="-1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538"/>
        <w:gridCol w:w="1022"/>
        <w:gridCol w:w="980"/>
        <w:gridCol w:w="1146"/>
        <w:gridCol w:w="1134"/>
        <w:gridCol w:w="567"/>
        <w:gridCol w:w="604"/>
        <w:gridCol w:w="657"/>
        <w:gridCol w:w="1009"/>
        <w:gridCol w:w="210"/>
        <w:gridCol w:w="380"/>
      </w:tblGrid>
      <w:tr w:rsidR="008F7B55" w:rsidRPr="008F7B55" w:rsidTr="008F7B55">
        <w:trPr>
          <w:cantSplit/>
          <w:trHeight w:val="215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Ваговий коефіцієнт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КВБЗ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Азовзагальмаш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Дизельний завод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Дніпровагонмаш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Луганськтепловоз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СВЗ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ВДМЗ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КЕВРЗ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Полтавхіммаш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СЕМЗ</w:t>
            </w:r>
          </w:p>
        </w:tc>
      </w:tr>
      <w:tr w:rsidR="008F7B55" w:rsidRPr="008F7B55" w:rsidTr="008F7B55">
        <w:trPr>
          <w:gridAfter w:val="1"/>
          <w:wAfter w:w="380" w:type="dxa"/>
          <w:cantSplit/>
          <w:trHeight w:val="17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 група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 група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 група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абсолютної ліквідності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проміжної ліквідності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7,7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поточної ліквідності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13,8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Частка оборотних коштів в активах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незалежності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5,0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забезпечення власними засобами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фінансової стійкості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Коефіцієнт капіталізації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F7B55" w:rsidRPr="008F7B55" w:rsidTr="008F7B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Сума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94,9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53,8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74,5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79,0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74,5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36,9</w:t>
            </w:r>
          </w:p>
        </w:tc>
      </w:tr>
    </w:tbl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 основі табл. 2 складено рис. 1, у якому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ранжовано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досліджувані підприємства за спаданням їх фінансової стійкості.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Група А характеризується абсолютною фінансовою стійкістю та платоспроможністю. Підприємства фактично знаходяться поза зоною ризику. До неї увійшли підприємства І та ІІ групи. Ці компанії мають найбільший потенціал інноваційного розвитку.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Група В – фінансові показники знаходяться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дуже близько до оптимальних, проте під час аналізу бухгалтерської звітності виявлено недостатній рівень окремих фінансових показників. Ці підприємства знаходяться в зоні допустимого ризику. Сюди потрапили компанії ІІІ групи. Тобто, можна припустити, що хоча ці підприємства і не показують найвищі доходи та обсяги реалізації, проте вони достатньо раціонально використовують свої наявні потужності та ефективно управляють фінансовими ресурсами.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8F7B55" w:rsidRPr="008F7B55" w:rsidRDefault="008F7B55" w:rsidP="008F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232A94" wp14:editId="0C8333A5">
            <wp:extent cx="5838825" cy="311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Рис. 1. Класифікація підприємств за баловою оцінкою фінансової стійкості у 2011 р.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групи С належать підприємства з нестійким фінансовим станом. Структура їхнього капіталу незадовільна, а платоспроможність мінімальна. Це підприємства з високим ризиком банкрутства. Ризик наближається до катастрофічного. До неї ввійшли 1 підприємство І групи, 3 – ІІ групи та 1 – ІІІ групи. Найгіршу фінансову стійкість продемонстрував виробник І групи –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Азовзагальмаш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». Це пояснюється тим, що воно має занадто складну організаційну структуру, у рамках якої дуже складно раціонально направляти ресурси та працювати ефективно. Вважаємо, що це проблема недосконалого та неякісного фінансового менеджменту. Інші підприємства групи А потрапили до неї через такі проблеми: використання недосконалих технологій, залежність від коливання цін на сировину та енергоресурси, обмеженість ринків збуту та ін. Серед досліджуваних підприємств немає виробників з кризовим фінансовим станом.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Контроль за показниками фінансової стійкості підприємств є необхідною умовою ефективного управління. Він дозволяє виявити навіть мінімальні коливання показників, завдяки чому стає можливе оперативне реагування на зміни у зовнішньому та внутрішньому середовищі. Такий моніторинг є однією зі складових ефективного стратегічного управління інноваційним розвитком.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 метою більш глибокого аналізу ситуації фінансового стану досліджуваних підприємств залізничного машинобудування, було здійснено балову оцінку фінансової стійкості у 2007–2011 рр. (табл. 3).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B55" w:rsidRPr="008F7B55" w:rsidRDefault="008F7B55" w:rsidP="008F7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Таблиця 3. Інтегральний показник фінансового стану підприємств залізничного машинобудування, бали, 2007-2011 рр.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1271"/>
        <w:gridCol w:w="1270"/>
        <w:gridCol w:w="1270"/>
        <w:gridCol w:w="1270"/>
        <w:gridCol w:w="1270"/>
      </w:tblGrid>
      <w:tr w:rsidR="008F7B55" w:rsidRPr="008F7B55" w:rsidTr="008F7B55">
        <w:trPr>
          <w:trHeight w:val="300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Підприємство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2011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Азовзагальмаш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33,779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43,245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40,208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44,105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25,102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КВБЗ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91,021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90,172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89,849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99,545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94,899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Дизельний завод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81,640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47,072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37,255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36,775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34,220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Дніпровагонмаш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85,507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65,156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49,819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82,110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93,899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Луганськтепловоз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36,587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31,680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36,669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37,978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29,133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СВЗ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40,669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45,391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60,599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52,976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53,815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ВДМЗ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75,006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69,053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77,649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80,928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74,515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КЕВРЗ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78,315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75,598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83,764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78,965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Полтавхіммаш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40,732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47,899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28,219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36,006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74,465</w:t>
            </w:r>
          </w:p>
        </w:tc>
      </w:tr>
      <w:tr w:rsidR="008F7B55" w:rsidRPr="008F7B55" w:rsidTr="008F7B55">
        <w:trPr>
          <w:trHeight w:val="30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65,376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38,715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41,084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42,829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B55" w:rsidRPr="008F7B55" w:rsidRDefault="008F7B55" w:rsidP="008F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36,862</w:t>
            </w:r>
          </w:p>
        </w:tc>
      </w:tr>
    </w:tbl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br/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Дані табл. 3 показують, що на підприємства з високою баловою оцінкою (П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АТ »Днiпроваго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нмаш»,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Крюківський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вагонобудівний завод») кризові явища не мали негативного впливу, а, навпаки, дозволили виявити неефективні та «токсичні» активи. Проте деякі компанії, які знаходилися у зоні ризику, не розробили комплексної стратегії щодо покращення фінансового стану. До них належать НВП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Смiлянський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електромеханiчний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завод», ВАТ »Дизельний Завод», ПАТ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Азовзагальмаш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 та В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АТ »ХК »Луганськтепл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овоз».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ВИСНОВКИ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Результати проведеного дослідження довели, що головною причиною незадовільного стану виробників залізничного транспорту є сформована невідповідність обсягів фінансування нормативним вимогам процесів простого відтворення основних виробничих фондів та нестача інвестицій, що стримують інноваційно-інвестиційний процес розвитку залізниць. Внаслідок цього загострюються такі проблеми: старіння основних фондів, їх фізичний та моральний знос; незадовільний рівень організації перевізного процесу; низький рівень транспортного сервісу; низький рівень інформатизації транспортного процесу та інформаційної взаємодії транспорту з іншими галузями економіки.</w:t>
      </w:r>
    </w:p>
    <w:p w:rsidR="008F7B55" w:rsidRPr="008F7B55" w:rsidRDefault="008F7B55" w:rsidP="008F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Проведений аналіз відкриває цілий спектр проблем для проведення подальших досліджень. Зокрема, планується пов’язати отримані результати з аналізом теорій управління технологіями та на їхній основі розробити методику стратегічного управління інноваційним розвитком підприємства.</w:t>
      </w:r>
    </w:p>
    <w:p w:rsidR="008F7B55" w:rsidRDefault="008F7B55" w:rsidP="008F7B5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8F7B55" w:rsidRDefault="008F7B55" w:rsidP="008F7B5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8F7B55" w:rsidRPr="008F7B55" w:rsidRDefault="008F7B55" w:rsidP="008F7B5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F7B5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ПЕРЕЛІК ВИКОРИСТАНИХ ДЖЕРЕЛ</w:t>
      </w:r>
    </w:p>
    <w:p w:rsidR="008F7B55" w:rsidRPr="008F7B55" w:rsidRDefault="008F7B55" w:rsidP="008F7B5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Донцова Л.В.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Анализ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финансовой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отчетности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учебник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/ Л. В.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Донцова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Н. А. Никифорова. — 4-е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изд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.,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перераб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и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доп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— М.: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Издательство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«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Дело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и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Сервис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», 2006. — 368 с.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Крістенсен К. Рішення проблеми інновацій в бізнесі. Як створити бізнес що росте і успішно підтримувати його зростання /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Клейтон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Крістенсен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Майкл Е.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Рейнор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Пер. з англ. – М.: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Альпіна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Бізнес Букс, 2004. – 290 с.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Минцберг Г.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Школы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стратегий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Стратегическое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сафари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экскурсия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дебрям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стратегий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менеджмента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/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Минцберг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Г.,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Альстрэнд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Б.,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Лэмпел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Дж. –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СПб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Питер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2001. – 336 с.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Список 200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крупнейших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компаний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Украин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// Журнал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Forbes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Жовтень 2012. № 10(20).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Ступаков В. С. Риск-менеджмент //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Ступаков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В. С., Токаренко Г. С. –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Учеб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пособие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— М.: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Финансы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и статистика, 2005. - 288 с.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Шершньова З. Є. Стратегічне управління / Підручник. – 2-ге вид., перероб. і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доп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– К.: КНЕУ, 2004. – 699 с.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Hamel G.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Competing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for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the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Future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/ G.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Hamel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C. K.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Prahalad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–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Harvard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Business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School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Press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1996. – 358 с.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Kim C.W. Blue Ocean Strategy: How to Create Uncontested Market Space and Make Competition Irrelevant / C. W. Kim, R.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Mauborgne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Harvard Business Review, 2005. – р. 256</w:t>
      </w:r>
    </w:p>
    <w:p w:rsidR="008F7B55" w:rsidRPr="008F7B55" w:rsidRDefault="008F7B55" w:rsidP="008F7B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7.</w:t>
      </w:r>
      <w:r w:rsidRPr="008F7B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Nonaka I.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The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Knowledge-Creating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Company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: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How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Japanese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Companies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Create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the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Dynamics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of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Innovation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/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Ikujiro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Nonaka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Hirotaka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Takeuchi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–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Oxford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University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Press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USA, 1995. – 304 с.</w:t>
      </w:r>
    </w:p>
    <w:p w:rsidR="008F7B55" w:rsidRPr="008F7B55" w:rsidRDefault="008F7B55" w:rsidP="008F7B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8F7B55" w:rsidRPr="008F7B55" w:rsidRDefault="008F7B55" w:rsidP="008F7B5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Одержано 11.02.2013р.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8F7B55" w:rsidRPr="008F7B55" w:rsidRDefault="008F7B55" w:rsidP="008F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154.35pt;height:.75pt" o:hrpct="330" o:hrstd="t" o:hr="t" fillcolor="#b0aea7" stroked="f"/>
        </w:pict>
      </w:r>
    </w:p>
    <w:p w:rsidR="008F7B55" w:rsidRPr="008F7B55" w:rsidRDefault="008F7B55" w:rsidP="008F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ftn1"/>
      <w:bookmarkEnd w:id="2"/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© Юхименко Віта Василівна,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аспірант кафедри менеджменту, Національний технічний університет України “КПІ”,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hyperlink r:id="rId6" w:history="1"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vita</w:t>
        </w:r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_</w:t>
        </w:r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u</w:t>
        </w:r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@</w:t>
        </w:r>
        <w:proofErr w:type="spellStart"/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ukr</w:t>
        </w:r>
        <w:proofErr w:type="spellEnd"/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r w:rsidRPr="008F7B5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net</w:t>
        </w:r>
      </w:hyperlink>
    </w:p>
    <w:p w:rsidR="008F7B55" w:rsidRPr="008F7B55" w:rsidRDefault="008F7B55" w:rsidP="008F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Шульгіна Людмила Михайлівна,</w:t>
      </w:r>
      <w:proofErr w:type="spellStart"/>
      <w:r w:rsidRPr="008F7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д.е.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н., проф. кафедри менеджменту, Національний технічний університет України “КПІ”, 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shulm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ukr</w:t>
      </w:r>
      <w:proofErr w:type="spellEnd"/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F7B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net</w:t>
      </w:r>
    </w:p>
    <w:p w:rsidR="009F5805" w:rsidRDefault="009F5805"/>
    <w:sectPr w:rsidR="009F5805" w:rsidSect="009F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B55"/>
    <w:rsid w:val="00000286"/>
    <w:rsid w:val="00011460"/>
    <w:rsid w:val="0002196D"/>
    <w:rsid w:val="0002436A"/>
    <w:rsid w:val="00025764"/>
    <w:rsid w:val="000352D8"/>
    <w:rsid w:val="00052F54"/>
    <w:rsid w:val="000546F9"/>
    <w:rsid w:val="00054E98"/>
    <w:rsid w:val="00062CA4"/>
    <w:rsid w:val="00072880"/>
    <w:rsid w:val="000A4B5F"/>
    <w:rsid w:val="000C1091"/>
    <w:rsid w:val="000E25F7"/>
    <w:rsid w:val="000E7C59"/>
    <w:rsid w:val="00103C38"/>
    <w:rsid w:val="00120C99"/>
    <w:rsid w:val="0012602E"/>
    <w:rsid w:val="00131FFB"/>
    <w:rsid w:val="00140432"/>
    <w:rsid w:val="0015326A"/>
    <w:rsid w:val="001642EA"/>
    <w:rsid w:val="0016476B"/>
    <w:rsid w:val="00165196"/>
    <w:rsid w:val="001706ED"/>
    <w:rsid w:val="0017348C"/>
    <w:rsid w:val="00176742"/>
    <w:rsid w:val="00180CFF"/>
    <w:rsid w:val="00181F5D"/>
    <w:rsid w:val="0019144F"/>
    <w:rsid w:val="0019616D"/>
    <w:rsid w:val="001B1771"/>
    <w:rsid w:val="001C082C"/>
    <w:rsid w:val="001F0595"/>
    <w:rsid w:val="00200DCD"/>
    <w:rsid w:val="00225684"/>
    <w:rsid w:val="00233CAC"/>
    <w:rsid w:val="00235F81"/>
    <w:rsid w:val="002360BF"/>
    <w:rsid w:val="002422CD"/>
    <w:rsid w:val="002465C7"/>
    <w:rsid w:val="00252F6F"/>
    <w:rsid w:val="00264121"/>
    <w:rsid w:val="00265CF9"/>
    <w:rsid w:val="00283980"/>
    <w:rsid w:val="00285D7F"/>
    <w:rsid w:val="00296FDE"/>
    <w:rsid w:val="002B0533"/>
    <w:rsid w:val="002B05E3"/>
    <w:rsid w:val="002C6E66"/>
    <w:rsid w:val="002C7FDF"/>
    <w:rsid w:val="002E2D31"/>
    <w:rsid w:val="002E606F"/>
    <w:rsid w:val="002F2919"/>
    <w:rsid w:val="002F724C"/>
    <w:rsid w:val="003017C1"/>
    <w:rsid w:val="003307E9"/>
    <w:rsid w:val="0033144D"/>
    <w:rsid w:val="00345B7F"/>
    <w:rsid w:val="00347F05"/>
    <w:rsid w:val="00366510"/>
    <w:rsid w:val="00386FB7"/>
    <w:rsid w:val="003A0831"/>
    <w:rsid w:val="003A4317"/>
    <w:rsid w:val="003E0910"/>
    <w:rsid w:val="003F28C1"/>
    <w:rsid w:val="0041081F"/>
    <w:rsid w:val="004169A8"/>
    <w:rsid w:val="004356BE"/>
    <w:rsid w:val="00435A95"/>
    <w:rsid w:val="00442DAE"/>
    <w:rsid w:val="004724FD"/>
    <w:rsid w:val="0047367D"/>
    <w:rsid w:val="004810C1"/>
    <w:rsid w:val="004845D4"/>
    <w:rsid w:val="004855D4"/>
    <w:rsid w:val="004A0A83"/>
    <w:rsid w:val="004A603E"/>
    <w:rsid w:val="004B78E0"/>
    <w:rsid w:val="004E25F3"/>
    <w:rsid w:val="004E2A5C"/>
    <w:rsid w:val="004F77EB"/>
    <w:rsid w:val="005077DD"/>
    <w:rsid w:val="00547FAC"/>
    <w:rsid w:val="005810FF"/>
    <w:rsid w:val="0058431C"/>
    <w:rsid w:val="005A5539"/>
    <w:rsid w:val="005B028D"/>
    <w:rsid w:val="005E42DD"/>
    <w:rsid w:val="005E665A"/>
    <w:rsid w:val="005F3C79"/>
    <w:rsid w:val="005F76E8"/>
    <w:rsid w:val="00600072"/>
    <w:rsid w:val="00606247"/>
    <w:rsid w:val="006130E0"/>
    <w:rsid w:val="006140E7"/>
    <w:rsid w:val="0063192F"/>
    <w:rsid w:val="006502E9"/>
    <w:rsid w:val="006574D3"/>
    <w:rsid w:val="006629C3"/>
    <w:rsid w:val="00676740"/>
    <w:rsid w:val="006A5ADE"/>
    <w:rsid w:val="007349F2"/>
    <w:rsid w:val="00751881"/>
    <w:rsid w:val="00754DB6"/>
    <w:rsid w:val="00794EC8"/>
    <w:rsid w:val="007A0175"/>
    <w:rsid w:val="007B7A23"/>
    <w:rsid w:val="007D02F3"/>
    <w:rsid w:val="007D0405"/>
    <w:rsid w:val="007D49C3"/>
    <w:rsid w:val="007D7EF2"/>
    <w:rsid w:val="007E3B51"/>
    <w:rsid w:val="007E5E79"/>
    <w:rsid w:val="00810C5E"/>
    <w:rsid w:val="008150A5"/>
    <w:rsid w:val="008349C2"/>
    <w:rsid w:val="00857C84"/>
    <w:rsid w:val="008747B6"/>
    <w:rsid w:val="00897721"/>
    <w:rsid w:val="008B01BE"/>
    <w:rsid w:val="008B49BE"/>
    <w:rsid w:val="008B5787"/>
    <w:rsid w:val="008C51C7"/>
    <w:rsid w:val="008F3D15"/>
    <w:rsid w:val="008F4814"/>
    <w:rsid w:val="008F7B55"/>
    <w:rsid w:val="009074C0"/>
    <w:rsid w:val="0091137A"/>
    <w:rsid w:val="0093362F"/>
    <w:rsid w:val="00963724"/>
    <w:rsid w:val="00972DEA"/>
    <w:rsid w:val="00973149"/>
    <w:rsid w:val="00975564"/>
    <w:rsid w:val="00984726"/>
    <w:rsid w:val="00991D85"/>
    <w:rsid w:val="009A6FCC"/>
    <w:rsid w:val="009E40C9"/>
    <w:rsid w:val="009E452A"/>
    <w:rsid w:val="009F5805"/>
    <w:rsid w:val="00A10D12"/>
    <w:rsid w:val="00A17DAC"/>
    <w:rsid w:val="00A32725"/>
    <w:rsid w:val="00A3353F"/>
    <w:rsid w:val="00A741D4"/>
    <w:rsid w:val="00A8359A"/>
    <w:rsid w:val="00A8367B"/>
    <w:rsid w:val="00A96AFC"/>
    <w:rsid w:val="00AB0B94"/>
    <w:rsid w:val="00AC70AD"/>
    <w:rsid w:val="00AD0DB0"/>
    <w:rsid w:val="00AD252F"/>
    <w:rsid w:val="00AD2823"/>
    <w:rsid w:val="00AD3F1F"/>
    <w:rsid w:val="00AF348D"/>
    <w:rsid w:val="00B00FDA"/>
    <w:rsid w:val="00B07147"/>
    <w:rsid w:val="00B7205D"/>
    <w:rsid w:val="00B87FF2"/>
    <w:rsid w:val="00B94A49"/>
    <w:rsid w:val="00BA52DE"/>
    <w:rsid w:val="00BC14F8"/>
    <w:rsid w:val="00BD13BC"/>
    <w:rsid w:val="00C12AF9"/>
    <w:rsid w:val="00C1565F"/>
    <w:rsid w:val="00C202E7"/>
    <w:rsid w:val="00C20569"/>
    <w:rsid w:val="00C27920"/>
    <w:rsid w:val="00C31DC4"/>
    <w:rsid w:val="00C35C83"/>
    <w:rsid w:val="00C56777"/>
    <w:rsid w:val="00C743EC"/>
    <w:rsid w:val="00C75492"/>
    <w:rsid w:val="00CC06DB"/>
    <w:rsid w:val="00CC1DD8"/>
    <w:rsid w:val="00CE3D8E"/>
    <w:rsid w:val="00CF381F"/>
    <w:rsid w:val="00D025CC"/>
    <w:rsid w:val="00D43BD8"/>
    <w:rsid w:val="00D541D9"/>
    <w:rsid w:val="00D96DA7"/>
    <w:rsid w:val="00DA6C5C"/>
    <w:rsid w:val="00DB05D3"/>
    <w:rsid w:val="00DB62B0"/>
    <w:rsid w:val="00DB69E3"/>
    <w:rsid w:val="00DC2312"/>
    <w:rsid w:val="00DC3DCB"/>
    <w:rsid w:val="00DD4E3C"/>
    <w:rsid w:val="00DE4820"/>
    <w:rsid w:val="00E11092"/>
    <w:rsid w:val="00E145F9"/>
    <w:rsid w:val="00E1517A"/>
    <w:rsid w:val="00E16246"/>
    <w:rsid w:val="00E342D4"/>
    <w:rsid w:val="00E517C1"/>
    <w:rsid w:val="00E6367A"/>
    <w:rsid w:val="00E67C66"/>
    <w:rsid w:val="00E97D29"/>
    <w:rsid w:val="00EB01C7"/>
    <w:rsid w:val="00EC1B7B"/>
    <w:rsid w:val="00EE54E2"/>
    <w:rsid w:val="00F032D8"/>
    <w:rsid w:val="00F12B04"/>
    <w:rsid w:val="00F25878"/>
    <w:rsid w:val="00F4180B"/>
    <w:rsid w:val="00F42FED"/>
    <w:rsid w:val="00F70889"/>
    <w:rsid w:val="00FA5AA9"/>
    <w:rsid w:val="00FB7AB0"/>
    <w:rsid w:val="00FC39CC"/>
    <w:rsid w:val="00FC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B55"/>
  </w:style>
  <w:style w:type="character" w:styleId="a3">
    <w:name w:val="Hyperlink"/>
    <w:basedOn w:val="a0"/>
    <w:uiPriority w:val="99"/>
    <w:semiHidden/>
    <w:unhideWhenUsed/>
    <w:rsid w:val="008F7B5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8F7B55"/>
  </w:style>
  <w:style w:type="paragraph" w:customStyle="1" w:styleId="a5">
    <w:name w:val="a"/>
    <w:basedOn w:val="a"/>
    <w:rsid w:val="008F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a_u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2017-08-28T07:22:00Z</dcterms:created>
  <dcterms:modified xsi:type="dcterms:W3CDTF">2017-08-28T07:27:00Z</dcterms:modified>
</cp:coreProperties>
</file>