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1F" w:rsidRDefault="002E501F" w:rsidP="002E501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УДК 338.46:332.1 (477.87)</w:t>
      </w:r>
    </w:p>
    <w:p w:rsidR="00E502BD" w:rsidRPr="00EF3146" w:rsidRDefault="00A52E5D" w:rsidP="00EF31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2E501F">
        <w:rPr>
          <w:rFonts w:ascii="Times New Roman" w:hAnsi="Times New Roman" w:cs="Times New Roman"/>
          <w:b/>
          <w:sz w:val="28"/>
          <w:szCs w:val="28"/>
          <w:lang w:val="uk-UA"/>
        </w:rPr>
        <w:t>ОСОБЛИВОСТ</w:t>
      </w:r>
      <w:r w:rsidRPr="00EF3146">
        <w:rPr>
          <w:rFonts w:ascii="Times New Roman" w:hAnsi="Times New Roman" w:cs="Times New Roman"/>
          <w:b/>
          <w:sz w:val="28"/>
          <w:szCs w:val="28"/>
          <w:lang w:val="uk-UA"/>
        </w:rPr>
        <w:t>І РОЗМІЩЕННЯ ТА ФУНКЦІОНУВАННЯ ПІДПРИЄМСТВ РИНКУ ПОСЛУГ В РОЗРІЗІ ПРИРОДНО-ЕКОНОМІЧНИХ ЗОН РЕГІОНУ (НА ПРИКЛАДІ ЗАКАРПАТСЬКОЇ ОБЛАСТІ)</w:t>
      </w:r>
    </w:p>
    <w:bookmarkEnd w:id="0"/>
    <w:p w:rsidR="00730952" w:rsidRDefault="00730952" w:rsidP="00A52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5A36" w:rsidRPr="00A52E5D" w:rsidRDefault="00A52E5D" w:rsidP="00A52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52E5D">
        <w:rPr>
          <w:rFonts w:ascii="Times New Roman" w:hAnsi="Times New Roman" w:cs="Times New Roman"/>
          <w:sz w:val="24"/>
          <w:szCs w:val="24"/>
          <w:lang w:val="uk-UA"/>
        </w:rPr>
        <w:t>Брензович</w:t>
      </w:r>
      <w:proofErr w:type="spellEnd"/>
      <w:r w:rsidRPr="00A52E5D">
        <w:rPr>
          <w:rFonts w:ascii="Times New Roman" w:hAnsi="Times New Roman" w:cs="Times New Roman"/>
          <w:sz w:val="24"/>
          <w:szCs w:val="24"/>
          <w:lang w:val="uk-UA"/>
        </w:rPr>
        <w:t xml:space="preserve"> К.С.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A52E5D" w:rsidRPr="00A52E5D" w:rsidRDefault="00A52E5D" w:rsidP="00A52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A52E5D">
        <w:rPr>
          <w:rFonts w:ascii="Times New Roman" w:hAnsi="Times New Roman" w:cs="Times New Roman"/>
          <w:sz w:val="24"/>
          <w:szCs w:val="24"/>
          <w:lang w:val="uk-UA"/>
        </w:rPr>
        <w:t>.е.н</w:t>
      </w:r>
      <w:proofErr w:type="spellEnd"/>
      <w:r w:rsidRPr="00A52E5D">
        <w:rPr>
          <w:rFonts w:ascii="Times New Roman" w:hAnsi="Times New Roman" w:cs="Times New Roman"/>
          <w:sz w:val="24"/>
          <w:szCs w:val="24"/>
          <w:lang w:val="uk-UA"/>
        </w:rPr>
        <w:t>, доцент кафедри економічної теорії та світової економіки</w:t>
      </w:r>
    </w:p>
    <w:p w:rsidR="00A52E5D" w:rsidRPr="00A52E5D" w:rsidRDefault="00A52E5D" w:rsidP="00A52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52E5D">
        <w:rPr>
          <w:rFonts w:ascii="Times New Roman" w:hAnsi="Times New Roman" w:cs="Times New Roman"/>
          <w:sz w:val="24"/>
          <w:szCs w:val="24"/>
          <w:lang w:val="uk-UA"/>
        </w:rPr>
        <w:t>ДВНЗ «Ужгородський національний університет»</w:t>
      </w:r>
    </w:p>
    <w:p w:rsidR="00730952" w:rsidRPr="0039157C" w:rsidRDefault="00730952" w:rsidP="00EF314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60F85" w:rsidRPr="00EF3146" w:rsidRDefault="002E501F" w:rsidP="002E50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01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Постановка проблеми.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6913"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Прив’язка діяльності у сфері послуг до </w:t>
      </w:r>
      <w:r w:rsidR="00160065">
        <w:rPr>
          <w:rFonts w:ascii="Times New Roman" w:hAnsi="Times New Roman" w:cs="Times New Roman"/>
          <w:sz w:val="28"/>
          <w:szCs w:val="28"/>
          <w:lang w:val="uk-UA"/>
        </w:rPr>
        <w:t xml:space="preserve">певного </w:t>
      </w:r>
      <w:r w:rsidR="00156913"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економічного та географічного простору через технічні або інші причини, внаслідок чого реалізація послуг підприємствами здебільшого здійснюється всередині регіону як адміністративно-територіальної одиниці, зумовлює необхідність дослідження регіональних аспектів розвитку ринку послуг. </w:t>
      </w:r>
      <w:r w:rsidR="00185825"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Специфіка функціонування ринку послуг має чітко виражену просторову зорієнтованість, що зумовлює існування значних відмінностей у розвитку підприємництва в сфері послуг як на рівні регіонів України, так і на рівні локальних адміністративно-територіальних утворень. </w:t>
      </w:r>
      <w:r w:rsidR="00CC712D" w:rsidRPr="00257A4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712D" w:rsidRPr="00257A4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712D" w:rsidRPr="00257A4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712D" w:rsidRPr="00CC712D">
        <w:rPr>
          <w:rFonts w:ascii="Times New Roman" w:hAnsi="Times New Roman" w:cs="Times New Roman"/>
          <w:sz w:val="28"/>
          <w:szCs w:val="28"/>
          <w:lang w:val="uk-UA"/>
        </w:rPr>
        <w:t>Закарпатська область наділена особливо різноманітними умовами для розвитку видів економічної діяльно</w:t>
      </w:r>
      <w:r w:rsidR="0039157C">
        <w:rPr>
          <w:rFonts w:ascii="Times New Roman" w:hAnsi="Times New Roman" w:cs="Times New Roman"/>
          <w:sz w:val="28"/>
          <w:szCs w:val="28"/>
          <w:lang w:val="uk-UA"/>
        </w:rPr>
        <w:t>сті, оскільки розміщена одразу в</w:t>
      </w:r>
      <w:r w:rsidR="00CC712D" w:rsidRPr="00CC712D">
        <w:rPr>
          <w:rFonts w:ascii="Times New Roman" w:hAnsi="Times New Roman" w:cs="Times New Roman"/>
          <w:sz w:val="28"/>
          <w:szCs w:val="28"/>
          <w:lang w:val="uk-UA"/>
        </w:rPr>
        <w:t xml:space="preserve"> трьох природно-економічних зонах (гірській, передгірній, низинній). До цього </w:t>
      </w:r>
      <w:r w:rsidR="00CC712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CC712D">
        <w:rPr>
          <w:rFonts w:ascii="Times New Roman" w:hAnsi="Times New Roman" w:cs="Times New Roman"/>
          <w:sz w:val="28"/>
          <w:szCs w:val="28"/>
        </w:rPr>
        <w:t>досл</w:t>
      </w:r>
      <w:r w:rsidR="00CC712D">
        <w:rPr>
          <w:rFonts w:ascii="Times New Roman" w:hAnsi="Times New Roman" w:cs="Times New Roman"/>
          <w:sz w:val="28"/>
          <w:szCs w:val="28"/>
          <w:lang w:val="uk-UA"/>
        </w:rPr>
        <w:t>ідженні</w:t>
      </w:r>
      <w:proofErr w:type="spellEnd"/>
      <w:r w:rsidR="00CC712D">
        <w:rPr>
          <w:rFonts w:ascii="Times New Roman" w:hAnsi="Times New Roman" w:cs="Times New Roman"/>
          <w:sz w:val="28"/>
          <w:szCs w:val="28"/>
          <w:lang w:val="uk-UA"/>
        </w:rPr>
        <w:t xml:space="preserve"> регіонального ринку послуг </w:t>
      </w:r>
      <w:r w:rsidR="00CC712D" w:rsidRPr="00CC712D">
        <w:rPr>
          <w:rFonts w:ascii="Times New Roman" w:hAnsi="Times New Roman" w:cs="Times New Roman"/>
          <w:sz w:val="28"/>
          <w:szCs w:val="28"/>
          <w:lang w:val="uk-UA"/>
        </w:rPr>
        <w:t xml:space="preserve">нами було здійснено спробу виведення узагальнюючого показника для відносної оцінки рівня </w:t>
      </w:r>
      <w:r w:rsidR="00CC712D">
        <w:rPr>
          <w:rFonts w:ascii="Times New Roman" w:hAnsi="Times New Roman" w:cs="Times New Roman"/>
          <w:sz w:val="28"/>
          <w:szCs w:val="28"/>
          <w:lang w:val="uk-UA"/>
        </w:rPr>
        <w:t>його розвитку в розрізі адміністративних районів</w:t>
      </w:r>
      <w:r w:rsidR="00CC712D" w:rsidRPr="00CC712D">
        <w:rPr>
          <w:rFonts w:ascii="Times New Roman" w:hAnsi="Times New Roman" w:cs="Times New Roman"/>
          <w:sz w:val="28"/>
          <w:szCs w:val="28"/>
          <w:lang w:val="uk-UA"/>
        </w:rPr>
        <w:t xml:space="preserve"> області. Однак вважаємо за доцільне поглибити зазначене дослідження пошуком можливих особливостей та спільних рис розвитку сфери ринкових (платних) послуг в межах природно-економічних зон.</w:t>
      </w:r>
    </w:p>
    <w:p w:rsidR="00CC712D" w:rsidRPr="00257A4C" w:rsidRDefault="00257A4C" w:rsidP="00257A4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8E3C28">
        <w:rPr>
          <w:rFonts w:ascii="Times New Roman" w:hAnsi="Times New Roman" w:cs="Times New Roman"/>
          <w:b/>
          <w:bCs/>
          <w:sz w:val="28"/>
          <w:szCs w:val="28"/>
          <w:u w:val="single"/>
        </w:rPr>
        <w:t>Аналіз</w:t>
      </w:r>
      <w:proofErr w:type="spellEnd"/>
      <w:r w:rsidRPr="008E3C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8E3C28">
        <w:rPr>
          <w:rFonts w:ascii="Times New Roman" w:hAnsi="Times New Roman" w:cs="Times New Roman"/>
          <w:b/>
          <w:bCs/>
          <w:sz w:val="28"/>
          <w:szCs w:val="28"/>
          <w:u w:val="single"/>
        </w:rPr>
        <w:t>останніх</w:t>
      </w:r>
      <w:proofErr w:type="spellEnd"/>
      <w:r w:rsidRPr="008E3C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proofErr w:type="gramStart"/>
      <w:r w:rsidRPr="008E3C28">
        <w:rPr>
          <w:rFonts w:ascii="Times New Roman" w:hAnsi="Times New Roman" w:cs="Times New Roman"/>
          <w:b/>
          <w:bCs/>
          <w:sz w:val="28"/>
          <w:szCs w:val="28"/>
          <w:u w:val="single"/>
        </w:rPr>
        <w:t>досл</w:t>
      </w:r>
      <w:proofErr w:type="gramEnd"/>
      <w:r w:rsidRPr="008E3C28">
        <w:rPr>
          <w:rFonts w:ascii="Times New Roman" w:hAnsi="Times New Roman" w:cs="Times New Roman"/>
          <w:b/>
          <w:bCs/>
          <w:sz w:val="28"/>
          <w:szCs w:val="28"/>
          <w:u w:val="single"/>
        </w:rPr>
        <w:t>іджень</w:t>
      </w:r>
      <w:proofErr w:type="spellEnd"/>
      <w:r w:rsidRPr="008E3C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8E3C28">
        <w:rPr>
          <w:rFonts w:ascii="Times New Roman" w:hAnsi="Times New Roman" w:cs="Times New Roman"/>
          <w:b/>
          <w:bCs/>
          <w:sz w:val="28"/>
          <w:szCs w:val="28"/>
          <w:u w:val="single"/>
        </w:rPr>
        <w:t>і</w:t>
      </w:r>
      <w:proofErr w:type="spellEnd"/>
      <w:r w:rsidRPr="008E3C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8E3C28">
        <w:rPr>
          <w:rFonts w:ascii="Times New Roman" w:hAnsi="Times New Roman" w:cs="Times New Roman"/>
          <w:b/>
          <w:bCs/>
          <w:sz w:val="28"/>
          <w:szCs w:val="28"/>
          <w:u w:val="single"/>
        </w:rPr>
        <w:t>публікацій</w:t>
      </w:r>
      <w:proofErr w:type="spellEnd"/>
      <w:r w:rsidRPr="0016006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600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85678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Організаційно-економічний механізм розвитку територіального комплексу послуг в умовах формування ринкових відносин досліджують </w:t>
      </w:r>
      <w:r w:rsidRPr="0028567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А.Ф.Мельник [1], </w:t>
      </w:r>
      <w:r w:rsidRPr="00285678">
        <w:rPr>
          <w:rFonts w:ascii="Times New Roman" w:hAnsi="Times New Roman" w:cs="Times New Roman"/>
          <w:sz w:val="28"/>
          <w:szCs w:val="28"/>
          <w:lang w:val="uk-UA"/>
        </w:rPr>
        <w:t xml:space="preserve">Б. М. Данилишин, В. І. </w:t>
      </w:r>
      <w:r w:rsidRPr="0028567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Куценко, Я. В. </w:t>
      </w:r>
      <w:proofErr w:type="spellStart"/>
      <w:r w:rsidRPr="00285678">
        <w:rPr>
          <w:rFonts w:ascii="Times New Roman" w:hAnsi="Times New Roman" w:cs="Times New Roman"/>
          <w:sz w:val="28"/>
          <w:szCs w:val="28"/>
          <w:lang w:val="uk-UA"/>
        </w:rPr>
        <w:t>Остафійчук</w:t>
      </w:r>
      <w:proofErr w:type="spellEnd"/>
      <w:r w:rsidRPr="00285678">
        <w:rPr>
          <w:rFonts w:ascii="Times New Roman" w:hAnsi="Times New Roman" w:cs="Times New Roman"/>
          <w:sz w:val="28"/>
          <w:szCs w:val="28"/>
          <w:lang w:val="uk-UA"/>
        </w:rPr>
        <w:t xml:space="preserve"> [2].</w:t>
      </w:r>
      <w:r w:rsidRPr="0028567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Розвиток ринку послуг розглядається в розрізі окремих областей України в праці О.В.Гаврилюк</w:t>
      </w:r>
      <w:r w:rsidRPr="00285678">
        <w:rPr>
          <w:rFonts w:ascii="Times New Roman" w:hAnsi="Times New Roman" w:cs="Times New Roman"/>
          <w:bCs/>
          <w:iCs/>
          <w:sz w:val="28"/>
          <w:szCs w:val="28"/>
        </w:rPr>
        <w:t xml:space="preserve"> [3]</w:t>
      </w:r>
      <w:r w:rsidRPr="002856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8567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Вивченню актуальних питань розвитку нових форм господарювання в сфері послуг та специфіки обслуговування сільського та міського населення присвячені дослідження </w:t>
      </w:r>
      <w:r w:rsidR="0039157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</w:t>
      </w:r>
      <w:r w:rsidRPr="00285678">
        <w:rPr>
          <w:rFonts w:ascii="Times New Roman" w:hAnsi="Times New Roman" w:cs="Times New Roman"/>
          <w:sz w:val="28"/>
          <w:szCs w:val="28"/>
          <w:lang w:val="uk-UA"/>
        </w:rPr>
        <w:t>В. П. Горьового [4] та О.</w:t>
      </w:r>
      <w:proofErr w:type="spellStart"/>
      <w:r w:rsidRPr="00285678">
        <w:rPr>
          <w:rFonts w:ascii="Times New Roman" w:hAnsi="Times New Roman" w:cs="Times New Roman"/>
          <w:sz w:val="28"/>
          <w:szCs w:val="28"/>
          <w:lang w:val="uk-UA"/>
        </w:rPr>
        <w:t>Лук’янченко</w:t>
      </w:r>
      <w:proofErr w:type="spellEnd"/>
      <w:r w:rsidRPr="00285678">
        <w:rPr>
          <w:rFonts w:ascii="Times New Roman" w:hAnsi="Times New Roman" w:cs="Times New Roman"/>
          <w:sz w:val="28"/>
          <w:szCs w:val="28"/>
          <w:lang w:val="uk-UA"/>
        </w:rPr>
        <w:t xml:space="preserve"> [5]</w:t>
      </w:r>
      <w:r w:rsidRPr="00285678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Pr="0028567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285678">
        <w:rPr>
          <w:rFonts w:ascii="Times New Roman" w:hAnsi="Times New Roman" w:cs="Times New Roman"/>
          <w:sz w:val="28"/>
          <w:szCs w:val="28"/>
          <w:lang w:val="uk-UA"/>
        </w:rPr>
        <w:t xml:space="preserve">Разом з тим, більшість публікацій присвячена макроекономічному  рівню регулювання розвитку ринку послуг. В той же час, властивий для зазначеного ринку високий рівень локалізації зміщує акцент дослідження на регіональний та місцевий рівні функціонування, в зв’язку з чим виникає необхідність вивчення внутрішньо регіональних особливостей розміщення та функціонування об’єктів ринку послуг. </w:t>
      </w:r>
    </w:p>
    <w:p w:rsidR="00156913" w:rsidRPr="00EF3146" w:rsidRDefault="002E501F" w:rsidP="00257A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01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Постановка завдання.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7A4C" w:rsidRPr="00257A4C">
        <w:rPr>
          <w:rFonts w:ascii="Times New Roman" w:hAnsi="Times New Roman" w:cs="Times New Roman"/>
          <w:sz w:val="28"/>
          <w:szCs w:val="28"/>
        </w:rPr>
        <w:t xml:space="preserve"> </w:t>
      </w:r>
      <w:r w:rsidR="00CC712D">
        <w:rPr>
          <w:rFonts w:ascii="Times New Roman" w:hAnsi="Times New Roman" w:cs="Times New Roman"/>
          <w:sz w:val="28"/>
          <w:szCs w:val="28"/>
          <w:lang w:val="uk-UA"/>
        </w:rPr>
        <w:t>Завданням</w:t>
      </w:r>
      <w:r w:rsidR="00156913"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є виявлення </w:t>
      </w:r>
      <w:r w:rsidR="00257A4C">
        <w:rPr>
          <w:rFonts w:ascii="Times New Roman" w:hAnsi="Times New Roman" w:cs="Times New Roman"/>
          <w:sz w:val="28"/>
          <w:szCs w:val="28"/>
          <w:lang w:val="uk-UA"/>
        </w:rPr>
        <w:t xml:space="preserve">можливих специфічних рис </w:t>
      </w:r>
      <w:r w:rsidR="00156913"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розвитку сфери послуг, зумовлених природними та економічними особливостями виділених зон регіону, визначення впливу природних та економічних умов на розміщення підприємств сфери послуг. </w:t>
      </w:r>
    </w:p>
    <w:p w:rsidR="00F848BB" w:rsidRPr="00EF3146" w:rsidRDefault="00F848BB" w:rsidP="002E501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F3146">
        <w:rPr>
          <w:rFonts w:ascii="Times New Roman" w:hAnsi="Times New Roman" w:cs="Times New Roman"/>
          <w:sz w:val="28"/>
          <w:szCs w:val="28"/>
          <w:lang w:val="uk-UA"/>
        </w:rPr>
        <w:t>Під час виконання дослідження використано загальнонаукові методи аналізу, порівняння, узагальнення, наукової абстракції та спеціальні методи статистичного аналі</w:t>
      </w:r>
      <w:r w:rsidR="002E501F">
        <w:rPr>
          <w:rFonts w:ascii="Times New Roman" w:hAnsi="Times New Roman" w:cs="Times New Roman"/>
          <w:sz w:val="28"/>
          <w:szCs w:val="28"/>
          <w:lang w:val="uk-UA"/>
        </w:rPr>
        <w:t>зу (методи відносних, середніх</w:t>
      </w:r>
      <w:r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 величин). Інформаційну базу дослідження складають офіційні статистичні дані, представлені Головним управлінням статистики у Закарпатській області.  </w:t>
      </w:r>
    </w:p>
    <w:p w:rsidR="00156913" w:rsidRPr="002E501F" w:rsidRDefault="00D1734F" w:rsidP="00565AA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E501F" w:rsidRPr="00D173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Виклад основного матеріалу дослідження</w:t>
      </w:r>
      <w:r w:rsidR="002E501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56913"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Загальноекономічне та соціальне значення сфери послуг на </w:t>
      </w:r>
      <w:proofErr w:type="spellStart"/>
      <w:r w:rsidR="00156913" w:rsidRPr="00EF3146">
        <w:rPr>
          <w:rFonts w:ascii="Times New Roman" w:hAnsi="Times New Roman" w:cs="Times New Roman"/>
          <w:sz w:val="28"/>
          <w:szCs w:val="28"/>
          <w:lang w:val="uk-UA"/>
        </w:rPr>
        <w:t>мезорівні</w:t>
      </w:r>
      <w:proofErr w:type="spellEnd"/>
      <w:r w:rsidR="00156913"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 виявляється у її впливі на зростання та комплексний характер розвитку регіону, ефективність функціонування його економіки і формування умов для проживання населення. Більш локалізований порівняно з матеріальним виробництвом характер та прив’язка до певної території робить галузі сфери послуг особливо залежними від потреб потенційних споживачів. </w:t>
      </w:r>
    </w:p>
    <w:p w:rsidR="0031028F" w:rsidRPr="00EF3146" w:rsidRDefault="00A52E5D" w:rsidP="00EF31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56913"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фера послуг здійснює </w:t>
      </w:r>
      <w:proofErr w:type="spellStart"/>
      <w:r w:rsidR="00156913" w:rsidRPr="00EF3146">
        <w:rPr>
          <w:rFonts w:ascii="Times New Roman" w:hAnsi="Times New Roman" w:cs="Times New Roman"/>
          <w:sz w:val="28"/>
          <w:szCs w:val="28"/>
          <w:lang w:val="uk-UA"/>
        </w:rPr>
        <w:t>всесторонній</w:t>
      </w:r>
      <w:proofErr w:type="spellEnd"/>
      <w:r w:rsidR="00156913"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 вплив на соціально-економічний розвиток регіону, є невід’ємною складовою його господарства. Локалізовані у безпосередньому наближенні до потенційних внутрішніх споживачів і спрямовані на забезпечення сприятливих умов життєдіяльності людей та </w:t>
      </w:r>
      <w:r w:rsidR="00156913" w:rsidRPr="00EF3146">
        <w:rPr>
          <w:rFonts w:ascii="Times New Roman" w:hAnsi="Times New Roman" w:cs="Times New Roman"/>
          <w:sz w:val="28"/>
          <w:szCs w:val="28"/>
          <w:lang w:val="uk-UA"/>
        </w:rPr>
        <w:lastRenderedPageBreak/>
        <w:t>функціонування виробництва, певні галузі сфери послуг можуть мати двояку роль.  Розвиток тих галузей сфери послуг, основними споживачами яких виступають жителі та підприємства інших регіонів і країн, по-перше, сприяє мобілізації фінансового ресурсу в регіоні, а по-друге, – підвищенню конкурентоспроможності підприємств регіону (через поліпшення культури ведення бізнесу, якості послуг, що  пов’язано з орієнтацію підприємств на ширше коло споживачів, а відповідно і на підвищені вимоги до пропонованого продукту).</w:t>
      </w:r>
      <w:r w:rsidR="00160F85"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0F85" w:rsidRPr="00EF3146" w:rsidRDefault="00160F85" w:rsidP="00EF314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3146">
        <w:rPr>
          <w:rFonts w:ascii="Times New Roman" w:hAnsi="Times New Roman" w:cs="Times New Roman"/>
          <w:sz w:val="28"/>
          <w:szCs w:val="28"/>
          <w:lang w:val="uk-UA"/>
        </w:rPr>
        <w:t>Умовно види діяльності на ринку послуг можна розділити на дві групи: перша – в якій за вартісними обсягами наданих послуг основним споживачем послуг виступає населення, друга – орієнтована головним чином на реалізацію послуг підприємствам. До першої групи, за офіційними статистичними даними, слід віднести освіту, соціальні послуги, комунальні та індивідуальні послуги, діяльність у сфері культури та спорту, діяльність готелів та інших місць тимчасового проживання, до другої – технічний ремонт та обслуговування транспортних засобів, діяльність транспорту і зв’язку, операції з нерухомим майном, інжиніринг та інші послуги підприємцям. Виключення складають послуги з організації подорожей, які за КВЕД відносяться до секції транспорту та зв’язку, однак на 80% реалізуються населенню</w:t>
      </w:r>
    </w:p>
    <w:p w:rsidR="00156913" w:rsidRPr="00EF3146" w:rsidRDefault="00156913" w:rsidP="00EF31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3146">
        <w:rPr>
          <w:rFonts w:ascii="Times New Roman" w:hAnsi="Times New Roman" w:cs="Times New Roman"/>
          <w:sz w:val="28"/>
          <w:szCs w:val="28"/>
        </w:rPr>
        <w:t>Закарпатський</w:t>
      </w:r>
      <w:proofErr w:type="spellEnd"/>
      <w:r w:rsidRPr="00EF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146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іон має значні можливості для розбудови дієвого комплексу послуг. Вигідне </w:t>
      </w:r>
      <w:proofErr w:type="spellStart"/>
      <w:r w:rsidRPr="00EF3146">
        <w:rPr>
          <w:rFonts w:ascii="Times New Roman" w:hAnsi="Times New Roman" w:cs="Times New Roman"/>
          <w:sz w:val="28"/>
          <w:szCs w:val="28"/>
          <w:lang w:val="uk-UA"/>
        </w:rPr>
        <w:t>геоекономічне</w:t>
      </w:r>
      <w:proofErr w:type="spellEnd"/>
      <w:r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 розташування (прикордонна територія), унікальні природні ландшафти та ресурси, висока ділова активність населення, досить розгалужена транспортна мережа, наявність значної кількості незадіяних трудових ресурсів, багата культурно-історична спадщина та широкий етнічний склад населення, досвід успішної просторової організації сфери послуг в минулому (Закарпаття у 70-80-ті рр. минулого століття належало до областей з </w:t>
      </w:r>
      <w:proofErr w:type="spellStart"/>
      <w:r w:rsidRPr="00EF3146">
        <w:rPr>
          <w:rFonts w:ascii="Times New Roman" w:hAnsi="Times New Roman" w:cs="Times New Roman"/>
          <w:sz w:val="28"/>
          <w:szCs w:val="28"/>
        </w:rPr>
        <w:t>високими</w:t>
      </w:r>
      <w:proofErr w:type="spellEnd"/>
      <w:r w:rsidRPr="00EF3146">
        <w:rPr>
          <w:rFonts w:ascii="Times New Roman" w:hAnsi="Times New Roman" w:cs="Times New Roman"/>
          <w:sz w:val="28"/>
          <w:szCs w:val="28"/>
        </w:rPr>
        <w:t xml:space="preserve"> </w:t>
      </w:r>
      <w:r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показниками  розвитку сфери послуг) у поєднанні з народними традиціями створюють можливості для формування та розвитку обслуговуючого комплексу з вирішальним значенням у ньому </w:t>
      </w:r>
      <w:r w:rsidRPr="00EF314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транспортних та  рекреаційних послуг, а також із посиленням ролі ділових послуг у його структурі. </w:t>
      </w:r>
    </w:p>
    <w:p w:rsidR="00160F85" w:rsidRPr="00EF3146" w:rsidRDefault="00160F85" w:rsidP="00EF31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146">
        <w:rPr>
          <w:rFonts w:ascii="Times New Roman" w:hAnsi="Times New Roman" w:cs="Times New Roman"/>
          <w:sz w:val="28"/>
          <w:szCs w:val="28"/>
          <w:lang w:val="uk-UA"/>
        </w:rPr>
        <w:t>Разом з тим, Закарпатська область характеризується особливими природно-економічними умовами, що чинять значний вплив на компактність розміщення населення (особливо це стосується гірських районів), а як наслідок  - на формування мережі підприємств. Ускладнені природні умови з одного боку, стають перешкодою у розбудові якісної мережі послуг у територіях з гірс</w:t>
      </w:r>
      <w:r w:rsidR="0039157C">
        <w:rPr>
          <w:rFonts w:ascii="Times New Roman" w:hAnsi="Times New Roman" w:cs="Times New Roman"/>
          <w:sz w:val="28"/>
          <w:szCs w:val="28"/>
          <w:lang w:val="uk-UA"/>
        </w:rPr>
        <w:t>ьким ландшафтом, а з іншого</w:t>
      </w:r>
      <w:r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 – особливе екологічне та природне середовище формує сприятливі передумови для розвитку в гірській та передгірній природно-економічних зонах стратегічного напряму економічної діяльності Закарпаття – туристично-рекреаційних послуг. </w:t>
      </w:r>
    </w:p>
    <w:p w:rsidR="00185825" w:rsidRPr="00EF3146" w:rsidRDefault="00160F85" w:rsidP="00EF31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Проведене раніше дослідження </w:t>
      </w:r>
      <w:r w:rsidR="00120174" w:rsidRPr="00EF3146">
        <w:rPr>
          <w:rFonts w:ascii="Times New Roman" w:hAnsi="Times New Roman" w:cs="Times New Roman"/>
          <w:sz w:val="28"/>
          <w:szCs w:val="28"/>
          <w:lang w:val="uk-UA"/>
        </w:rPr>
        <w:t>розвитку ринку послуг за однойменним комплексним показником</w:t>
      </w:r>
      <w:r w:rsidR="00257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7A4C" w:rsidRPr="00257A4C">
        <w:rPr>
          <w:rFonts w:ascii="Times New Roman" w:hAnsi="Times New Roman" w:cs="Times New Roman"/>
          <w:sz w:val="28"/>
          <w:szCs w:val="28"/>
        </w:rPr>
        <w:t>[6, 88-104]</w:t>
      </w:r>
      <w:r w:rsidR="00120174"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 за районами та містами області виявило відставання у розвитку ринку послуг восьми з тринадцяти районів Закарпаття. Водночас, у кожній із зазначених природно-економічних зон представлені райони з низьким та високим значенн</w:t>
      </w:r>
      <w:r w:rsidR="0031028F" w:rsidRPr="00EF3146">
        <w:rPr>
          <w:rFonts w:ascii="Times New Roman" w:hAnsi="Times New Roman" w:cs="Times New Roman"/>
          <w:sz w:val="28"/>
          <w:szCs w:val="28"/>
          <w:lang w:val="uk-UA"/>
        </w:rPr>
        <w:t>ям індексу, що свідчить про відс</w:t>
      </w:r>
      <w:r w:rsidR="00120174"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утність однозначних тенденцій </w:t>
      </w:r>
      <w:r w:rsidR="00CC712D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120174" w:rsidRPr="00EF3146">
        <w:rPr>
          <w:rFonts w:ascii="Times New Roman" w:hAnsi="Times New Roman" w:cs="Times New Roman"/>
          <w:sz w:val="28"/>
          <w:szCs w:val="28"/>
          <w:lang w:val="uk-UA"/>
        </w:rPr>
        <w:t>слабкості розвитку сфери послуг у районах з ускладненими природними ум</w:t>
      </w:r>
      <w:r w:rsidR="00CC712D">
        <w:rPr>
          <w:rFonts w:ascii="Times New Roman" w:hAnsi="Times New Roman" w:cs="Times New Roman"/>
          <w:sz w:val="28"/>
          <w:szCs w:val="28"/>
          <w:lang w:val="uk-UA"/>
        </w:rPr>
        <w:t>овами</w:t>
      </w:r>
      <w:r w:rsidR="00120174" w:rsidRPr="00EF3146">
        <w:rPr>
          <w:rFonts w:ascii="Times New Roman" w:hAnsi="Times New Roman" w:cs="Times New Roman"/>
          <w:sz w:val="28"/>
          <w:szCs w:val="28"/>
          <w:lang w:val="uk-UA"/>
        </w:rPr>
        <w:t>. Однак найвищі показники індексу серед районів (за виключенням значень міст обласного значення) мають  низинні райони (Мукачівський та Ужгородський),</w:t>
      </w:r>
      <w:r w:rsidR="00CC71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E3E" w:rsidRPr="00EF3146">
        <w:rPr>
          <w:rFonts w:ascii="Times New Roman" w:hAnsi="Times New Roman" w:cs="Times New Roman"/>
          <w:sz w:val="28"/>
          <w:szCs w:val="28"/>
          <w:lang w:val="uk-UA"/>
        </w:rPr>
        <w:t>в той час як чотири з шести районів, віднесених до групи гірських, мали значення індексу розвитку ринку послуг нижче за середній та низький.</w:t>
      </w:r>
    </w:p>
    <w:p w:rsidR="00257A4C" w:rsidRPr="0039157C" w:rsidRDefault="0031028F" w:rsidP="003915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Як видно з таблиці 1, переважна більшість підприємств сфери послуг розміщена </w:t>
      </w:r>
      <w:r w:rsidR="00CC712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низинній природно-економічній зоні регіону (931 одиниця, або 73,3% від загальної кількості діючих підприємств). Найменше діючих </w:t>
      </w:r>
      <w:r w:rsidR="00CC712D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підприємств, що надавали ринкові </w:t>
      </w:r>
      <w:proofErr w:type="spellStart"/>
      <w:r w:rsidRPr="00EF3146">
        <w:rPr>
          <w:rFonts w:ascii="Times New Roman" w:hAnsi="Times New Roman" w:cs="Times New Roman"/>
          <w:sz w:val="28"/>
          <w:szCs w:val="28"/>
          <w:lang w:val="uk-UA"/>
        </w:rPr>
        <w:t>нефінансові</w:t>
      </w:r>
      <w:proofErr w:type="spellEnd"/>
      <w:r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 послуг</w:t>
      </w:r>
      <w:r w:rsidR="00CC712D">
        <w:rPr>
          <w:rFonts w:ascii="Times New Roman" w:hAnsi="Times New Roman" w:cs="Times New Roman"/>
          <w:sz w:val="28"/>
          <w:szCs w:val="28"/>
          <w:lang w:val="uk-UA"/>
        </w:rPr>
        <w:t xml:space="preserve"> у 2011 році</w:t>
      </w:r>
      <w:r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, розташовувалися у гірській зоні (лише 160 одиниць з 1270). На підприємства низинної зони припадало 64,3% загального обсягу послуг, реалізованих в регіоні (або 1701113 </w:t>
      </w:r>
      <w:proofErr w:type="spellStart"/>
      <w:r w:rsidRPr="00EF3146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), передгірної – 6,2 </w:t>
      </w:r>
      <w:r w:rsidR="007C6514">
        <w:rPr>
          <w:rFonts w:ascii="Times New Roman" w:hAnsi="Times New Roman" w:cs="Times New Roman"/>
          <w:sz w:val="28"/>
          <w:szCs w:val="28"/>
          <w:lang w:val="uk-UA"/>
        </w:rPr>
        <w:t>% (або 162474,8), та гірської -</w:t>
      </w:r>
      <w:r w:rsidR="0039157C">
        <w:rPr>
          <w:rFonts w:ascii="Times New Roman" w:hAnsi="Times New Roman" w:cs="Times New Roman"/>
          <w:sz w:val="28"/>
          <w:szCs w:val="28"/>
          <w:lang w:val="uk-UA"/>
        </w:rPr>
        <w:t>8,3%</w:t>
      </w:r>
      <w:r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 (218523,5 </w:t>
      </w:r>
      <w:proofErr w:type="spellStart"/>
      <w:r w:rsidRPr="00EF3146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EF3146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3915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0065" w:rsidRPr="00160065" w:rsidRDefault="00160065" w:rsidP="0016006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60065">
        <w:rPr>
          <w:rFonts w:ascii="Times New Roman" w:hAnsi="Times New Roman" w:cs="Times New Roman"/>
          <w:i/>
          <w:sz w:val="28"/>
          <w:szCs w:val="28"/>
        </w:rPr>
        <w:lastRenderedPageBreak/>
        <w:t>Таблиця</w:t>
      </w:r>
      <w:proofErr w:type="spellEnd"/>
      <w:r w:rsidRPr="00160065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E502BD" w:rsidRPr="00EF3146" w:rsidRDefault="00E502BD" w:rsidP="00EF31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F3146">
        <w:rPr>
          <w:rFonts w:ascii="Times New Roman" w:hAnsi="Times New Roman" w:cs="Times New Roman"/>
          <w:b/>
          <w:sz w:val="28"/>
          <w:szCs w:val="28"/>
        </w:rPr>
        <w:t>Показники</w:t>
      </w:r>
      <w:proofErr w:type="spellEnd"/>
      <w:r w:rsidRPr="00EF314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EF3146">
        <w:rPr>
          <w:rFonts w:ascii="Times New Roman" w:hAnsi="Times New Roman" w:cs="Times New Roman"/>
          <w:b/>
          <w:sz w:val="28"/>
          <w:szCs w:val="28"/>
        </w:rPr>
        <w:t>сфе</w:t>
      </w:r>
      <w:proofErr w:type="spellEnd"/>
      <w:r w:rsidRPr="00EF3146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EF3146">
        <w:rPr>
          <w:rFonts w:ascii="Times New Roman" w:hAnsi="Times New Roman" w:cs="Times New Roman"/>
          <w:b/>
          <w:sz w:val="28"/>
          <w:szCs w:val="28"/>
        </w:rPr>
        <w:t>и неф</w:t>
      </w:r>
      <w:r w:rsidRPr="00EF314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EF3146">
        <w:rPr>
          <w:rFonts w:ascii="Times New Roman" w:hAnsi="Times New Roman" w:cs="Times New Roman"/>
          <w:b/>
          <w:sz w:val="28"/>
          <w:szCs w:val="28"/>
        </w:rPr>
        <w:t>нансових</w:t>
      </w:r>
      <w:proofErr w:type="spellEnd"/>
      <w:r w:rsidRPr="00EF31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3146">
        <w:rPr>
          <w:rFonts w:ascii="Times New Roman" w:hAnsi="Times New Roman" w:cs="Times New Roman"/>
          <w:b/>
          <w:sz w:val="28"/>
          <w:szCs w:val="28"/>
        </w:rPr>
        <w:t>послуг</w:t>
      </w:r>
      <w:proofErr w:type="spellEnd"/>
      <w:r w:rsidRPr="00EF3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4CF" w:rsidRPr="00EF31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природно-економічними зонами </w:t>
      </w:r>
      <w:proofErr w:type="spellStart"/>
      <w:r w:rsidRPr="00EF3146">
        <w:rPr>
          <w:rFonts w:ascii="Times New Roman" w:hAnsi="Times New Roman" w:cs="Times New Roman"/>
          <w:b/>
          <w:sz w:val="28"/>
          <w:szCs w:val="28"/>
        </w:rPr>
        <w:t>Закарпаття</w:t>
      </w:r>
      <w:proofErr w:type="spellEnd"/>
      <w:r w:rsidRPr="00EF3146">
        <w:rPr>
          <w:rFonts w:ascii="Times New Roman" w:hAnsi="Times New Roman" w:cs="Times New Roman"/>
          <w:b/>
          <w:sz w:val="28"/>
          <w:szCs w:val="28"/>
          <w:lang w:val="uk-UA"/>
        </w:rPr>
        <w:t>, 2011 р.</w:t>
      </w:r>
    </w:p>
    <w:tbl>
      <w:tblPr>
        <w:tblStyle w:val="a3"/>
        <w:tblW w:w="0" w:type="auto"/>
        <w:jc w:val="center"/>
        <w:tblLook w:val="04A0"/>
      </w:tblPr>
      <w:tblGrid>
        <w:gridCol w:w="2476"/>
        <w:gridCol w:w="1176"/>
        <w:gridCol w:w="1217"/>
        <w:gridCol w:w="1339"/>
        <w:gridCol w:w="1114"/>
        <w:gridCol w:w="2249"/>
      </w:tblGrid>
      <w:tr w:rsidR="00E502BD" w:rsidRPr="00160065" w:rsidTr="00160065">
        <w:trPr>
          <w:trHeight w:val="867"/>
          <w:jc w:val="center"/>
        </w:trPr>
        <w:tc>
          <w:tcPr>
            <w:tcW w:w="2476" w:type="dxa"/>
            <w:vMerge w:val="restart"/>
            <w:vAlign w:val="center"/>
          </w:tcPr>
          <w:p w:rsidR="00E502BD" w:rsidRPr="00160065" w:rsidRDefault="00E502BD" w:rsidP="00160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  <w:vAlign w:val="center"/>
          </w:tcPr>
          <w:p w:rsidR="00E502BD" w:rsidRPr="00160065" w:rsidRDefault="00E502BD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 w:rsidR="007F30C6"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діючих </w:t>
            </w: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 сфери послуг</w:t>
            </w:r>
          </w:p>
        </w:tc>
        <w:tc>
          <w:tcPr>
            <w:tcW w:w="4702" w:type="dxa"/>
            <w:gridSpan w:val="3"/>
            <w:tcBorders>
              <w:bottom w:val="single" w:sz="4" w:space="0" w:color="auto"/>
            </w:tcBorders>
            <w:vAlign w:val="center"/>
          </w:tcPr>
          <w:p w:rsidR="00E502BD" w:rsidRPr="00160065" w:rsidRDefault="00417108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</w:t>
            </w:r>
            <w:r w:rsidR="00E502BD"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яги реалізованих послуг</w:t>
            </w:r>
          </w:p>
        </w:tc>
      </w:tr>
      <w:tr w:rsidR="00E502BD" w:rsidRPr="00160065" w:rsidTr="00160065">
        <w:trPr>
          <w:trHeight w:val="1124"/>
          <w:jc w:val="center"/>
        </w:trPr>
        <w:tc>
          <w:tcPr>
            <w:tcW w:w="2476" w:type="dxa"/>
            <w:vMerge/>
            <w:vAlign w:val="center"/>
          </w:tcPr>
          <w:p w:rsidR="00E502BD" w:rsidRPr="00160065" w:rsidRDefault="00E502BD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02BD" w:rsidRPr="00160065" w:rsidRDefault="00E502BD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02BD" w:rsidRPr="00160065" w:rsidRDefault="00E502BD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% до регіону</w:t>
            </w:r>
          </w:p>
        </w:tc>
        <w:tc>
          <w:tcPr>
            <w:tcW w:w="13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02BD" w:rsidRPr="00160065" w:rsidRDefault="007F30C6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ринкових цінах, </w:t>
            </w:r>
            <w:proofErr w:type="spellStart"/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502BD" w:rsidRPr="00160065" w:rsidRDefault="00E502BD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02BD" w:rsidRPr="00160065" w:rsidRDefault="00E502BD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% до регіону</w:t>
            </w:r>
          </w:p>
        </w:tc>
        <w:tc>
          <w:tcPr>
            <w:tcW w:w="2249" w:type="dxa"/>
            <w:tcBorders>
              <w:top w:val="single" w:sz="4" w:space="0" w:color="auto"/>
            </w:tcBorders>
            <w:vAlign w:val="center"/>
          </w:tcPr>
          <w:p w:rsidR="00E502BD" w:rsidRPr="00160065" w:rsidRDefault="00636A13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них </w:t>
            </w:r>
            <w:r w:rsidR="00494EA9"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населенню, у</w:t>
            </w:r>
            <w:r w:rsidR="00437A89"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середньому на одного</w:t>
            </w:r>
            <w:r w:rsidR="00494EA9"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споживача</w:t>
            </w:r>
            <w:r w:rsidR="00A34B01"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грн.</w:t>
            </w:r>
          </w:p>
        </w:tc>
      </w:tr>
      <w:tr w:rsidR="00E502BD" w:rsidRPr="00160065" w:rsidTr="002061B0">
        <w:trPr>
          <w:jc w:val="center"/>
        </w:trPr>
        <w:tc>
          <w:tcPr>
            <w:tcW w:w="2476" w:type="dxa"/>
            <w:vAlign w:val="center"/>
          </w:tcPr>
          <w:p w:rsidR="00E502BD" w:rsidRPr="00160065" w:rsidRDefault="00F46920" w:rsidP="0016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6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1600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proofErr w:type="spellStart"/>
            <w:r w:rsidRPr="00160065">
              <w:rPr>
                <w:rFonts w:ascii="Times New Roman" w:hAnsi="Times New Roman" w:cs="Times New Roman"/>
                <w:b/>
                <w:sz w:val="24"/>
                <w:szCs w:val="24"/>
              </w:rPr>
              <w:t>рська</w:t>
            </w:r>
            <w:proofErr w:type="spellEnd"/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E502BD" w:rsidRPr="00160065" w:rsidRDefault="00F46920" w:rsidP="0016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65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E502BD" w:rsidRPr="00160065" w:rsidRDefault="00F46920" w:rsidP="0016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b/>
                <w:sz w:val="24"/>
                <w:szCs w:val="24"/>
              </w:rPr>
              <w:t>12,</w:t>
            </w:r>
            <w:r w:rsidR="002061B0" w:rsidRPr="001600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E502BD" w:rsidRPr="00160065" w:rsidRDefault="004E44CF" w:rsidP="0016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218523,5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E502BD" w:rsidRPr="00160065" w:rsidRDefault="004E44CF" w:rsidP="0016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8,3</w:t>
            </w:r>
          </w:p>
        </w:tc>
        <w:tc>
          <w:tcPr>
            <w:tcW w:w="2249" w:type="dxa"/>
            <w:vAlign w:val="center"/>
          </w:tcPr>
          <w:p w:rsidR="00E502BD" w:rsidRPr="00160065" w:rsidRDefault="00494EA9" w:rsidP="0016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7F30C6" w:rsidRPr="001600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96,6</w:t>
            </w:r>
          </w:p>
        </w:tc>
      </w:tr>
      <w:tr w:rsidR="002061B0" w:rsidRPr="00160065" w:rsidTr="00B23BC4">
        <w:trPr>
          <w:jc w:val="center"/>
        </w:trPr>
        <w:tc>
          <w:tcPr>
            <w:tcW w:w="2476" w:type="dxa"/>
            <w:vAlign w:val="center"/>
          </w:tcPr>
          <w:p w:rsidR="002061B0" w:rsidRPr="00160065" w:rsidRDefault="002061B0" w:rsidP="001600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 т.ч. райони:</w:t>
            </w:r>
          </w:p>
        </w:tc>
        <w:tc>
          <w:tcPr>
            <w:tcW w:w="7095" w:type="dxa"/>
            <w:gridSpan w:val="5"/>
            <w:vAlign w:val="center"/>
          </w:tcPr>
          <w:p w:rsidR="002061B0" w:rsidRPr="00160065" w:rsidRDefault="002061B0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B01" w:rsidRPr="00160065" w:rsidTr="002061B0">
        <w:trPr>
          <w:jc w:val="center"/>
        </w:trPr>
        <w:tc>
          <w:tcPr>
            <w:tcW w:w="2476" w:type="dxa"/>
            <w:vAlign w:val="center"/>
          </w:tcPr>
          <w:p w:rsidR="00A34B01" w:rsidRPr="00160065" w:rsidRDefault="00A34B01" w:rsidP="00160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Великоберезнянський</w:t>
            </w:r>
            <w:proofErr w:type="spellEnd"/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A34B01" w:rsidRPr="00160065" w:rsidRDefault="00A34B01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A34B01" w:rsidRPr="00160065" w:rsidRDefault="00A34B01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2061B0"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A34B01" w:rsidRPr="00160065" w:rsidRDefault="00A34B01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7792,8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A34B01" w:rsidRPr="00160065" w:rsidRDefault="00A34B01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2249" w:type="dxa"/>
            <w:vAlign w:val="center"/>
          </w:tcPr>
          <w:p w:rsidR="00A34B01" w:rsidRPr="00160065" w:rsidRDefault="00494EA9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94,0</w:t>
            </w:r>
          </w:p>
        </w:tc>
      </w:tr>
      <w:tr w:rsidR="00A34B01" w:rsidRPr="00160065" w:rsidTr="002061B0">
        <w:trPr>
          <w:jc w:val="center"/>
        </w:trPr>
        <w:tc>
          <w:tcPr>
            <w:tcW w:w="2476" w:type="dxa"/>
            <w:vAlign w:val="center"/>
          </w:tcPr>
          <w:p w:rsidR="00A34B01" w:rsidRPr="00160065" w:rsidRDefault="00A34B01" w:rsidP="00160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Воловецький</w:t>
            </w:r>
            <w:proofErr w:type="spellEnd"/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A34B01" w:rsidRPr="00160065" w:rsidRDefault="00A34B01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A34B01" w:rsidRPr="00160065" w:rsidRDefault="00A34B01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2061B0"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A34B01" w:rsidRPr="00160065" w:rsidRDefault="00A34B01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2985,5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A34B01" w:rsidRPr="00160065" w:rsidRDefault="00A34B01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249" w:type="dxa"/>
            <w:vAlign w:val="center"/>
          </w:tcPr>
          <w:p w:rsidR="00A34B01" w:rsidRPr="00160065" w:rsidRDefault="00494EA9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74,5</w:t>
            </w:r>
          </w:p>
        </w:tc>
      </w:tr>
      <w:tr w:rsidR="00A34B01" w:rsidRPr="00160065" w:rsidTr="002061B0">
        <w:trPr>
          <w:jc w:val="center"/>
        </w:trPr>
        <w:tc>
          <w:tcPr>
            <w:tcW w:w="2476" w:type="dxa"/>
            <w:vAlign w:val="center"/>
          </w:tcPr>
          <w:p w:rsidR="00A34B01" w:rsidRPr="00160065" w:rsidRDefault="00A34B01" w:rsidP="00160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Міжгірський</w:t>
            </w:r>
            <w:proofErr w:type="spellEnd"/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A34B01" w:rsidRPr="00160065" w:rsidRDefault="00A34B01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A34B01" w:rsidRPr="00160065" w:rsidRDefault="00A34B01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A34B01" w:rsidRPr="00160065" w:rsidRDefault="00A34B01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17178,4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A34B01" w:rsidRPr="00160065" w:rsidRDefault="00A34B01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2249" w:type="dxa"/>
            <w:vAlign w:val="center"/>
          </w:tcPr>
          <w:p w:rsidR="00A34B01" w:rsidRPr="00160065" w:rsidRDefault="00494EA9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230,1</w:t>
            </w:r>
          </w:p>
        </w:tc>
      </w:tr>
      <w:tr w:rsidR="00A34B01" w:rsidRPr="00160065" w:rsidTr="002061B0">
        <w:trPr>
          <w:jc w:val="center"/>
        </w:trPr>
        <w:tc>
          <w:tcPr>
            <w:tcW w:w="2476" w:type="dxa"/>
            <w:vAlign w:val="center"/>
          </w:tcPr>
          <w:p w:rsidR="00A34B01" w:rsidRPr="00160065" w:rsidRDefault="00A34B01" w:rsidP="00160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Перечинський</w:t>
            </w:r>
            <w:proofErr w:type="spellEnd"/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A34B01" w:rsidRPr="00160065" w:rsidRDefault="00A34B01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A34B01" w:rsidRPr="00160065" w:rsidRDefault="00A34B01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A34B01" w:rsidRPr="00160065" w:rsidRDefault="00A34B01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5020,6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A34B01" w:rsidRPr="00160065" w:rsidRDefault="00A34B01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2249" w:type="dxa"/>
            <w:vAlign w:val="center"/>
          </w:tcPr>
          <w:p w:rsidR="00A34B01" w:rsidRPr="00160065" w:rsidRDefault="00494EA9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117,1</w:t>
            </w:r>
          </w:p>
        </w:tc>
      </w:tr>
      <w:tr w:rsidR="00C5604E" w:rsidRPr="00160065" w:rsidTr="002061B0">
        <w:trPr>
          <w:jc w:val="center"/>
        </w:trPr>
        <w:tc>
          <w:tcPr>
            <w:tcW w:w="2476" w:type="dxa"/>
            <w:vAlign w:val="center"/>
          </w:tcPr>
          <w:p w:rsidR="00C5604E" w:rsidRPr="00160065" w:rsidRDefault="00C5604E" w:rsidP="00160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Рахівський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C5604E" w:rsidRPr="00160065" w:rsidRDefault="00C5604E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C5604E" w:rsidRPr="00160065" w:rsidRDefault="00C5604E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C5604E" w:rsidRPr="00160065" w:rsidRDefault="00C5604E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26954,0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C5604E" w:rsidRPr="00160065" w:rsidRDefault="00C5604E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2249" w:type="dxa"/>
            <w:vAlign w:val="center"/>
          </w:tcPr>
          <w:p w:rsidR="00C5604E" w:rsidRPr="00160065" w:rsidRDefault="00494EA9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170,3</w:t>
            </w:r>
          </w:p>
        </w:tc>
      </w:tr>
      <w:tr w:rsidR="00C5604E" w:rsidRPr="00160065" w:rsidTr="002061B0">
        <w:trPr>
          <w:jc w:val="center"/>
        </w:trPr>
        <w:tc>
          <w:tcPr>
            <w:tcW w:w="2476" w:type="dxa"/>
            <w:vAlign w:val="center"/>
          </w:tcPr>
          <w:p w:rsidR="00C5604E" w:rsidRPr="00160065" w:rsidRDefault="00C5604E" w:rsidP="00160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Свалявський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C5604E" w:rsidRPr="00160065" w:rsidRDefault="002061B0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C5604E" w:rsidRPr="00160065" w:rsidRDefault="002061B0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C5604E" w:rsidRPr="00160065" w:rsidRDefault="002061B0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158592,2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C5604E" w:rsidRPr="00160065" w:rsidRDefault="002061B0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2249" w:type="dxa"/>
            <w:vAlign w:val="center"/>
          </w:tcPr>
          <w:p w:rsidR="00C5604E" w:rsidRPr="00160065" w:rsidRDefault="00494EA9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866,2</w:t>
            </w:r>
          </w:p>
        </w:tc>
      </w:tr>
      <w:tr w:rsidR="00E502BD" w:rsidRPr="00160065" w:rsidTr="002061B0">
        <w:trPr>
          <w:jc w:val="center"/>
        </w:trPr>
        <w:tc>
          <w:tcPr>
            <w:tcW w:w="2476" w:type="dxa"/>
            <w:vAlign w:val="center"/>
          </w:tcPr>
          <w:p w:rsidR="00E502BD" w:rsidRPr="00160065" w:rsidRDefault="00F46920" w:rsidP="0016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Передгірна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E502BD" w:rsidRPr="00160065" w:rsidRDefault="004E44CF" w:rsidP="0016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173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E502BD" w:rsidRPr="00160065" w:rsidRDefault="004E44CF" w:rsidP="0016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="00F46920" w:rsidRPr="001600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1600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E502BD" w:rsidRPr="00160065" w:rsidRDefault="004E44CF" w:rsidP="0016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162474,8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E502BD" w:rsidRPr="00160065" w:rsidRDefault="004E44CF" w:rsidP="0016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6,2</w:t>
            </w:r>
          </w:p>
        </w:tc>
        <w:tc>
          <w:tcPr>
            <w:tcW w:w="2249" w:type="dxa"/>
            <w:vAlign w:val="center"/>
          </w:tcPr>
          <w:p w:rsidR="00E502BD" w:rsidRPr="00160065" w:rsidRDefault="007F30C6" w:rsidP="0016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146,2</w:t>
            </w:r>
          </w:p>
        </w:tc>
      </w:tr>
      <w:tr w:rsidR="002061B0" w:rsidRPr="00160065" w:rsidTr="002061B0">
        <w:trPr>
          <w:jc w:val="center"/>
        </w:trPr>
        <w:tc>
          <w:tcPr>
            <w:tcW w:w="2476" w:type="dxa"/>
            <w:vAlign w:val="center"/>
          </w:tcPr>
          <w:p w:rsidR="002061B0" w:rsidRPr="00160065" w:rsidRDefault="002061B0" w:rsidP="001600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Міста:</w:t>
            </w:r>
          </w:p>
        </w:tc>
        <w:tc>
          <w:tcPr>
            <w:tcW w:w="7095" w:type="dxa"/>
            <w:gridSpan w:val="5"/>
            <w:vAlign w:val="center"/>
          </w:tcPr>
          <w:p w:rsidR="002061B0" w:rsidRPr="00160065" w:rsidRDefault="002061B0" w:rsidP="0016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B01" w:rsidRPr="00160065" w:rsidTr="002061B0">
        <w:trPr>
          <w:jc w:val="center"/>
        </w:trPr>
        <w:tc>
          <w:tcPr>
            <w:tcW w:w="2476" w:type="dxa"/>
            <w:vAlign w:val="center"/>
          </w:tcPr>
          <w:p w:rsidR="00A34B01" w:rsidRPr="00160065" w:rsidRDefault="00A34B01" w:rsidP="00160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Хуст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A34B01" w:rsidRPr="00160065" w:rsidRDefault="00A34B01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A34B01" w:rsidRPr="00160065" w:rsidRDefault="00A34B01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A34B01" w:rsidRPr="00160065" w:rsidRDefault="00A34B01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52075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A34B01" w:rsidRPr="00160065" w:rsidRDefault="00A34B01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2249" w:type="dxa"/>
            <w:vAlign w:val="center"/>
          </w:tcPr>
          <w:p w:rsidR="00A34B01" w:rsidRPr="00160065" w:rsidRDefault="00E946C3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556,3</w:t>
            </w:r>
          </w:p>
        </w:tc>
      </w:tr>
      <w:tr w:rsidR="002061B0" w:rsidRPr="00160065" w:rsidTr="00942852">
        <w:trPr>
          <w:jc w:val="center"/>
        </w:trPr>
        <w:tc>
          <w:tcPr>
            <w:tcW w:w="2476" w:type="dxa"/>
            <w:vAlign w:val="center"/>
          </w:tcPr>
          <w:p w:rsidR="002061B0" w:rsidRPr="00160065" w:rsidRDefault="002061B0" w:rsidP="001600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Райони:</w:t>
            </w:r>
          </w:p>
        </w:tc>
        <w:tc>
          <w:tcPr>
            <w:tcW w:w="7095" w:type="dxa"/>
            <w:gridSpan w:val="5"/>
            <w:vAlign w:val="center"/>
          </w:tcPr>
          <w:p w:rsidR="002061B0" w:rsidRPr="00160065" w:rsidRDefault="002061B0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B01" w:rsidRPr="00160065" w:rsidTr="002061B0">
        <w:trPr>
          <w:jc w:val="center"/>
        </w:trPr>
        <w:tc>
          <w:tcPr>
            <w:tcW w:w="2476" w:type="dxa"/>
            <w:vAlign w:val="center"/>
          </w:tcPr>
          <w:p w:rsidR="00A34B01" w:rsidRPr="00160065" w:rsidRDefault="00A34B01" w:rsidP="00160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Іршавський</w:t>
            </w:r>
            <w:proofErr w:type="spellEnd"/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A34B01" w:rsidRPr="00160065" w:rsidRDefault="00A34B01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A34B01" w:rsidRPr="00160065" w:rsidRDefault="00A34B01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A34B01" w:rsidRPr="00160065" w:rsidRDefault="00A34B01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50806,1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A34B01" w:rsidRPr="00160065" w:rsidRDefault="00A34B01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</w:t>
            </w:r>
          </w:p>
        </w:tc>
        <w:tc>
          <w:tcPr>
            <w:tcW w:w="2249" w:type="dxa"/>
            <w:vAlign w:val="center"/>
          </w:tcPr>
          <w:p w:rsidR="00A34B01" w:rsidRPr="00160065" w:rsidRDefault="00494EA9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152,2</w:t>
            </w:r>
          </w:p>
        </w:tc>
      </w:tr>
      <w:tr w:rsidR="00A34B01" w:rsidRPr="00160065" w:rsidTr="002061B0">
        <w:trPr>
          <w:jc w:val="center"/>
        </w:trPr>
        <w:tc>
          <w:tcPr>
            <w:tcW w:w="2476" w:type="dxa"/>
            <w:vAlign w:val="center"/>
          </w:tcPr>
          <w:p w:rsidR="00A34B01" w:rsidRPr="00160065" w:rsidRDefault="00A34B01" w:rsidP="00160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Тячівський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A34B01" w:rsidRPr="00160065" w:rsidRDefault="00494EA9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A34B01" w:rsidRPr="00160065" w:rsidRDefault="00494EA9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A34B01" w:rsidRPr="00160065" w:rsidRDefault="00494EA9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28821,7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A34B01" w:rsidRPr="00160065" w:rsidRDefault="00494EA9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</w:t>
            </w:r>
          </w:p>
        </w:tc>
        <w:tc>
          <w:tcPr>
            <w:tcW w:w="2249" w:type="dxa"/>
            <w:vAlign w:val="center"/>
          </w:tcPr>
          <w:p w:rsidR="00A34B01" w:rsidRPr="00160065" w:rsidRDefault="00494EA9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72,0</w:t>
            </w:r>
          </w:p>
        </w:tc>
      </w:tr>
      <w:tr w:rsidR="00A34B01" w:rsidRPr="00160065" w:rsidTr="002061B0">
        <w:trPr>
          <w:jc w:val="center"/>
        </w:trPr>
        <w:tc>
          <w:tcPr>
            <w:tcW w:w="2476" w:type="dxa"/>
            <w:vAlign w:val="center"/>
          </w:tcPr>
          <w:p w:rsidR="00A34B01" w:rsidRPr="00160065" w:rsidRDefault="00A34B01" w:rsidP="00160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Хустський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A34B01" w:rsidRPr="00160065" w:rsidRDefault="00494EA9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A34B01" w:rsidRPr="00160065" w:rsidRDefault="00494EA9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A34B01" w:rsidRPr="00160065" w:rsidRDefault="00494EA9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30772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A34B01" w:rsidRPr="00160065" w:rsidRDefault="00494EA9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</w:t>
            </w:r>
          </w:p>
        </w:tc>
        <w:tc>
          <w:tcPr>
            <w:tcW w:w="2249" w:type="dxa"/>
            <w:vAlign w:val="center"/>
          </w:tcPr>
          <w:p w:rsidR="00494EA9" w:rsidRPr="00160065" w:rsidRDefault="00494EA9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137,9</w:t>
            </w:r>
          </w:p>
        </w:tc>
      </w:tr>
      <w:tr w:rsidR="00E502BD" w:rsidRPr="00160065" w:rsidTr="002061B0">
        <w:trPr>
          <w:jc w:val="center"/>
        </w:trPr>
        <w:tc>
          <w:tcPr>
            <w:tcW w:w="2476" w:type="dxa"/>
            <w:vAlign w:val="center"/>
          </w:tcPr>
          <w:p w:rsidR="00E502BD" w:rsidRPr="00160065" w:rsidRDefault="00F46920" w:rsidP="0016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Низинна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E502BD" w:rsidRPr="00160065" w:rsidRDefault="00F46920" w:rsidP="0016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931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E502BD" w:rsidRPr="00160065" w:rsidRDefault="00F46920" w:rsidP="0016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73,3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E502BD" w:rsidRPr="00160065" w:rsidRDefault="004E44CF" w:rsidP="0016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1701113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E502BD" w:rsidRPr="00160065" w:rsidRDefault="004E44CF" w:rsidP="0016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64,3</w:t>
            </w:r>
          </w:p>
        </w:tc>
        <w:tc>
          <w:tcPr>
            <w:tcW w:w="2249" w:type="dxa"/>
            <w:vAlign w:val="center"/>
          </w:tcPr>
          <w:p w:rsidR="00E502BD" w:rsidRPr="00160065" w:rsidRDefault="007F30C6" w:rsidP="0016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598,8</w:t>
            </w:r>
          </w:p>
        </w:tc>
      </w:tr>
      <w:tr w:rsidR="002061B0" w:rsidRPr="00160065" w:rsidTr="00885CED">
        <w:trPr>
          <w:jc w:val="center"/>
        </w:trPr>
        <w:tc>
          <w:tcPr>
            <w:tcW w:w="2476" w:type="dxa"/>
            <w:vAlign w:val="center"/>
          </w:tcPr>
          <w:p w:rsidR="002061B0" w:rsidRPr="00160065" w:rsidRDefault="002061B0" w:rsidP="001600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 т.ч. міста:</w:t>
            </w:r>
          </w:p>
        </w:tc>
        <w:tc>
          <w:tcPr>
            <w:tcW w:w="7095" w:type="dxa"/>
            <w:gridSpan w:val="5"/>
            <w:vAlign w:val="center"/>
          </w:tcPr>
          <w:p w:rsidR="002061B0" w:rsidRPr="00160065" w:rsidRDefault="002061B0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04E" w:rsidRPr="00160065" w:rsidTr="002061B0">
        <w:trPr>
          <w:jc w:val="center"/>
        </w:trPr>
        <w:tc>
          <w:tcPr>
            <w:tcW w:w="2476" w:type="dxa"/>
            <w:vAlign w:val="center"/>
          </w:tcPr>
          <w:p w:rsidR="00C5604E" w:rsidRPr="00160065" w:rsidRDefault="00C5604E" w:rsidP="00160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Ужгород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C5604E" w:rsidRPr="00160065" w:rsidRDefault="002061B0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487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C5604E" w:rsidRPr="00160065" w:rsidRDefault="002061B0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38,3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C5604E" w:rsidRPr="00160065" w:rsidRDefault="002061B0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620719,2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C5604E" w:rsidRPr="00160065" w:rsidRDefault="002061B0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23,5</w:t>
            </w:r>
          </w:p>
        </w:tc>
        <w:tc>
          <w:tcPr>
            <w:tcW w:w="2249" w:type="dxa"/>
            <w:vAlign w:val="center"/>
          </w:tcPr>
          <w:p w:rsidR="00C5604E" w:rsidRPr="00160065" w:rsidRDefault="00E946C3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1772,5</w:t>
            </w:r>
          </w:p>
        </w:tc>
      </w:tr>
      <w:tr w:rsidR="00C5604E" w:rsidRPr="00160065" w:rsidTr="002061B0">
        <w:trPr>
          <w:jc w:val="center"/>
        </w:trPr>
        <w:tc>
          <w:tcPr>
            <w:tcW w:w="2476" w:type="dxa"/>
            <w:vAlign w:val="center"/>
          </w:tcPr>
          <w:p w:rsidR="00C5604E" w:rsidRPr="00160065" w:rsidRDefault="00C5604E" w:rsidP="00160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Берегово 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C5604E" w:rsidRPr="00160065" w:rsidRDefault="00E946C3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C5604E" w:rsidRPr="00160065" w:rsidRDefault="00E946C3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C5604E" w:rsidRPr="00160065" w:rsidRDefault="00E946C3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42977,3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C5604E" w:rsidRPr="00160065" w:rsidRDefault="00E946C3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</w:t>
            </w:r>
          </w:p>
        </w:tc>
        <w:tc>
          <w:tcPr>
            <w:tcW w:w="2249" w:type="dxa"/>
            <w:vAlign w:val="center"/>
          </w:tcPr>
          <w:p w:rsidR="00C5604E" w:rsidRPr="00160065" w:rsidRDefault="00E946C3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570,5</w:t>
            </w:r>
          </w:p>
        </w:tc>
      </w:tr>
      <w:tr w:rsidR="00C5604E" w:rsidRPr="00160065" w:rsidTr="002061B0">
        <w:trPr>
          <w:jc w:val="center"/>
        </w:trPr>
        <w:tc>
          <w:tcPr>
            <w:tcW w:w="2476" w:type="dxa"/>
            <w:vAlign w:val="center"/>
          </w:tcPr>
          <w:p w:rsidR="00C5604E" w:rsidRPr="00160065" w:rsidRDefault="00C5604E" w:rsidP="00160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Мукачево</w:t>
            </w:r>
            <w:proofErr w:type="spellEnd"/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C5604E" w:rsidRPr="00160065" w:rsidRDefault="00E946C3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C5604E" w:rsidRPr="00160065" w:rsidRDefault="00E946C3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14,7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C5604E" w:rsidRPr="00160065" w:rsidRDefault="00E946C3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376518,6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C5604E" w:rsidRPr="00160065" w:rsidRDefault="00E946C3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14,3</w:t>
            </w:r>
          </w:p>
        </w:tc>
        <w:tc>
          <w:tcPr>
            <w:tcW w:w="2249" w:type="dxa"/>
            <w:vAlign w:val="center"/>
          </w:tcPr>
          <w:p w:rsidR="00C5604E" w:rsidRPr="00160065" w:rsidRDefault="00E946C3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554,9</w:t>
            </w:r>
          </w:p>
        </w:tc>
      </w:tr>
      <w:tr w:rsidR="00C5604E" w:rsidRPr="00160065" w:rsidTr="002061B0">
        <w:trPr>
          <w:jc w:val="center"/>
        </w:trPr>
        <w:tc>
          <w:tcPr>
            <w:tcW w:w="2476" w:type="dxa"/>
            <w:vAlign w:val="center"/>
          </w:tcPr>
          <w:p w:rsidR="00C5604E" w:rsidRPr="00160065" w:rsidRDefault="00C5604E" w:rsidP="00160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Чоп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C5604E" w:rsidRPr="00160065" w:rsidRDefault="00E946C3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C5604E" w:rsidRPr="00160065" w:rsidRDefault="00E946C3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C5604E" w:rsidRPr="00160065" w:rsidRDefault="00E946C3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153233,4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C5604E" w:rsidRPr="00160065" w:rsidRDefault="00E946C3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5,8</w:t>
            </w:r>
          </w:p>
        </w:tc>
        <w:tc>
          <w:tcPr>
            <w:tcW w:w="2249" w:type="dxa"/>
            <w:vAlign w:val="center"/>
          </w:tcPr>
          <w:p w:rsidR="00C5604E" w:rsidRPr="00160065" w:rsidRDefault="00E946C3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581,4</w:t>
            </w:r>
          </w:p>
        </w:tc>
      </w:tr>
      <w:tr w:rsidR="002061B0" w:rsidRPr="00160065" w:rsidTr="00C10323">
        <w:trPr>
          <w:jc w:val="center"/>
        </w:trPr>
        <w:tc>
          <w:tcPr>
            <w:tcW w:w="2476" w:type="dxa"/>
            <w:vAlign w:val="center"/>
          </w:tcPr>
          <w:p w:rsidR="002061B0" w:rsidRPr="00160065" w:rsidRDefault="002061B0" w:rsidP="001600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Райони:</w:t>
            </w:r>
          </w:p>
        </w:tc>
        <w:tc>
          <w:tcPr>
            <w:tcW w:w="7095" w:type="dxa"/>
            <w:gridSpan w:val="5"/>
            <w:vAlign w:val="center"/>
          </w:tcPr>
          <w:p w:rsidR="002061B0" w:rsidRPr="00160065" w:rsidRDefault="002061B0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04E" w:rsidRPr="00160065" w:rsidTr="002061B0">
        <w:trPr>
          <w:jc w:val="center"/>
        </w:trPr>
        <w:tc>
          <w:tcPr>
            <w:tcW w:w="2476" w:type="dxa"/>
            <w:vAlign w:val="center"/>
          </w:tcPr>
          <w:p w:rsidR="00C5604E" w:rsidRPr="00160065" w:rsidRDefault="00C5604E" w:rsidP="00160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Берегівський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C5604E" w:rsidRPr="00160065" w:rsidRDefault="00E946C3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C5604E" w:rsidRPr="00160065" w:rsidRDefault="00E946C3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C5604E" w:rsidRPr="00160065" w:rsidRDefault="00E946C3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38350,1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C5604E" w:rsidRPr="00160065" w:rsidRDefault="00E946C3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</w:t>
            </w:r>
          </w:p>
        </w:tc>
        <w:tc>
          <w:tcPr>
            <w:tcW w:w="2249" w:type="dxa"/>
            <w:vAlign w:val="center"/>
          </w:tcPr>
          <w:p w:rsidR="00C5604E" w:rsidRPr="00160065" w:rsidRDefault="00494EA9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55,1</w:t>
            </w:r>
          </w:p>
        </w:tc>
      </w:tr>
      <w:tr w:rsidR="00C5604E" w:rsidRPr="00160065" w:rsidTr="002061B0">
        <w:trPr>
          <w:jc w:val="center"/>
        </w:trPr>
        <w:tc>
          <w:tcPr>
            <w:tcW w:w="2476" w:type="dxa"/>
            <w:vAlign w:val="center"/>
          </w:tcPr>
          <w:p w:rsidR="00C5604E" w:rsidRPr="00160065" w:rsidRDefault="00C5604E" w:rsidP="00160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Виноградівський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C5604E" w:rsidRPr="00160065" w:rsidRDefault="00E946C3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C5604E" w:rsidRPr="00160065" w:rsidRDefault="00E946C3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C5604E" w:rsidRPr="00160065" w:rsidRDefault="00E946C3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41919,9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C5604E" w:rsidRPr="00160065" w:rsidRDefault="00E946C3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</w:t>
            </w:r>
          </w:p>
        </w:tc>
        <w:tc>
          <w:tcPr>
            <w:tcW w:w="2249" w:type="dxa"/>
            <w:vAlign w:val="center"/>
          </w:tcPr>
          <w:p w:rsidR="00C5604E" w:rsidRPr="00160065" w:rsidRDefault="00494EA9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189,3</w:t>
            </w:r>
          </w:p>
        </w:tc>
      </w:tr>
      <w:tr w:rsidR="00C5604E" w:rsidRPr="00160065" w:rsidTr="002061B0">
        <w:trPr>
          <w:jc w:val="center"/>
        </w:trPr>
        <w:tc>
          <w:tcPr>
            <w:tcW w:w="2476" w:type="dxa"/>
            <w:vAlign w:val="center"/>
          </w:tcPr>
          <w:p w:rsidR="00C5604E" w:rsidRPr="00160065" w:rsidRDefault="00C5604E" w:rsidP="00160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Мукачівський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C5604E" w:rsidRPr="00160065" w:rsidRDefault="00E946C3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C5604E" w:rsidRPr="00160065" w:rsidRDefault="00E946C3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C5604E" w:rsidRPr="00160065" w:rsidRDefault="00E946C3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246717,1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C5604E" w:rsidRPr="00160065" w:rsidRDefault="00E946C3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9,3</w:t>
            </w:r>
          </w:p>
        </w:tc>
        <w:tc>
          <w:tcPr>
            <w:tcW w:w="2249" w:type="dxa"/>
            <w:vAlign w:val="center"/>
          </w:tcPr>
          <w:p w:rsidR="00C5604E" w:rsidRPr="00160065" w:rsidRDefault="00494EA9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296,3</w:t>
            </w:r>
          </w:p>
        </w:tc>
      </w:tr>
      <w:tr w:rsidR="00C5604E" w:rsidRPr="00160065" w:rsidTr="002061B0">
        <w:trPr>
          <w:jc w:val="center"/>
        </w:trPr>
        <w:tc>
          <w:tcPr>
            <w:tcW w:w="2476" w:type="dxa"/>
            <w:vAlign w:val="center"/>
          </w:tcPr>
          <w:p w:rsidR="00C5604E" w:rsidRPr="00160065" w:rsidRDefault="00C5604E" w:rsidP="00160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Ужгородський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C5604E" w:rsidRPr="00160065" w:rsidRDefault="00E946C3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C5604E" w:rsidRPr="00160065" w:rsidRDefault="00E946C3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C5604E" w:rsidRPr="00160065" w:rsidRDefault="00E946C3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180677,7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C5604E" w:rsidRPr="00160065" w:rsidRDefault="00E946C3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6,8</w:t>
            </w:r>
          </w:p>
        </w:tc>
        <w:tc>
          <w:tcPr>
            <w:tcW w:w="2249" w:type="dxa"/>
            <w:vAlign w:val="center"/>
          </w:tcPr>
          <w:p w:rsidR="00C5604E" w:rsidRPr="00160065" w:rsidRDefault="00494EA9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199,8</w:t>
            </w:r>
          </w:p>
        </w:tc>
      </w:tr>
      <w:tr w:rsidR="00C5604E" w:rsidRPr="00160065" w:rsidTr="002061B0">
        <w:trPr>
          <w:jc w:val="center"/>
        </w:trPr>
        <w:tc>
          <w:tcPr>
            <w:tcW w:w="2476" w:type="dxa"/>
            <w:vAlign w:val="center"/>
          </w:tcPr>
          <w:p w:rsidR="00C5604E" w:rsidRPr="007C6514" w:rsidRDefault="0031028F" w:rsidP="00160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Підприємства</w:t>
            </w:r>
            <w:r w:rsidR="007C6514" w:rsidRPr="007C6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поза </w:t>
            </w:r>
            <w:r w:rsidRPr="007C6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5604E" w:rsidRPr="007C6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адм.-терит.поділом</w:t>
            </w:r>
            <w:proofErr w:type="spellEnd"/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C5604E" w:rsidRPr="007C6514" w:rsidRDefault="00C5604E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C5604E" w:rsidRPr="007C6514" w:rsidRDefault="00C5604E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C5604E" w:rsidRPr="007C6514" w:rsidRDefault="00C5604E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559446,1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C5604E" w:rsidRPr="007C6514" w:rsidRDefault="00C5604E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21,2</w:t>
            </w:r>
          </w:p>
        </w:tc>
        <w:tc>
          <w:tcPr>
            <w:tcW w:w="2249" w:type="dxa"/>
            <w:vAlign w:val="center"/>
          </w:tcPr>
          <w:p w:rsidR="00C5604E" w:rsidRPr="007C6514" w:rsidRDefault="00494EA9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946C3" w:rsidRPr="00160065" w:rsidTr="002061B0">
        <w:trPr>
          <w:jc w:val="center"/>
        </w:trPr>
        <w:tc>
          <w:tcPr>
            <w:tcW w:w="2476" w:type="dxa"/>
            <w:vAlign w:val="center"/>
          </w:tcPr>
          <w:p w:rsidR="00E946C3" w:rsidRPr="00160065" w:rsidRDefault="00E946C3" w:rsidP="001600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по області 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E946C3" w:rsidRPr="00160065" w:rsidRDefault="00E946C3" w:rsidP="0016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1270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E946C3" w:rsidRPr="00160065" w:rsidRDefault="00E946C3" w:rsidP="0016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E946C3" w:rsidRPr="00160065" w:rsidRDefault="00E946C3" w:rsidP="0016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2641557,5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E946C3" w:rsidRPr="00160065" w:rsidRDefault="00E946C3" w:rsidP="0016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2249" w:type="dxa"/>
            <w:vAlign w:val="center"/>
          </w:tcPr>
          <w:p w:rsidR="00E946C3" w:rsidRPr="00160065" w:rsidRDefault="00494EA9" w:rsidP="0016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494,5</w:t>
            </w:r>
          </w:p>
        </w:tc>
      </w:tr>
    </w:tbl>
    <w:p w:rsidR="0031028F" w:rsidRPr="0039157C" w:rsidRDefault="00160065" w:rsidP="0039157C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Розроблено автором за даними</w:t>
      </w:r>
      <w:r w:rsidR="00391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157C">
        <w:rPr>
          <w:rFonts w:ascii="Times New Roman" w:hAnsi="Times New Roman" w:cs="Times New Roman"/>
          <w:sz w:val="28"/>
          <w:szCs w:val="28"/>
          <w:lang w:val="en-US"/>
        </w:rPr>
        <w:t>[7-8]</w:t>
      </w:r>
    </w:p>
    <w:p w:rsidR="0039157C" w:rsidRPr="00EF3146" w:rsidRDefault="0039157C" w:rsidP="003915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Порівняння зазначених показників дають узагальнену картину ефективності підприємств на ринку послуг: підприємство низинної зони в середньому реалізує на рік послуг на суму 1827, 19 </w:t>
      </w:r>
      <w:proofErr w:type="spellStart"/>
      <w:r w:rsidRPr="00EF3146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., передгірної – 939,16 </w:t>
      </w:r>
      <w:proofErr w:type="spellStart"/>
      <w:r w:rsidRPr="00EF3146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., гірської – 1365, 8 </w:t>
      </w:r>
      <w:proofErr w:type="spellStart"/>
      <w:r w:rsidRPr="00EF3146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EF31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157C" w:rsidRPr="00EF3146" w:rsidRDefault="0039157C" w:rsidP="003915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14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Показник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середнього </w:t>
      </w:r>
      <w:r w:rsidRPr="00EF3146">
        <w:rPr>
          <w:rFonts w:ascii="Times New Roman" w:hAnsi="Times New Roman" w:cs="Times New Roman"/>
          <w:sz w:val="28"/>
          <w:szCs w:val="28"/>
          <w:lang w:val="uk-UA"/>
        </w:rPr>
        <w:t>обс</w:t>
      </w:r>
      <w:r>
        <w:rPr>
          <w:rFonts w:ascii="Times New Roman" w:hAnsi="Times New Roman" w:cs="Times New Roman"/>
          <w:sz w:val="28"/>
          <w:szCs w:val="28"/>
          <w:lang w:val="uk-UA"/>
        </w:rPr>
        <w:t>ягу наданих послуг  в розрахунку</w:t>
      </w:r>
      <w:r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 на одного споживача, наведений у таблиці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EF3146">
        <w:rPr>
          <w:rFonts w:ascii="Times New Roman" w:hAnsi="Times New Roman" w:cs="Times New Roman"/>
          <w:sz w:val="28"/>
          <w:szCs w:val="28"/>
          <w:lang w:val="uk-UA"/>
        </w:rPr>
        <w:t>, характеризує середню кількість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вартісному значенні</w:t>
      </w:r>
      <w:r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, спожитих населенням в розрахунку на одну особу і коливається від максимального значення 1772, 5 грн. у </w:t>
      </w:r>
      <w:proofErr w:type="spellStart"/>
      <w:r w:rsidRPr="00EF3146">
        <w:rPr>
          <w:rFonts w:ascii="Times New Roman" w:hAnsi="Times New Roman" w:cs="Times New Roman"/>
          <w:sz w:val="28"/>
          <w:szCs w:val="28"/>
          <w:lang w:val="uk-UA"/>
        </w:rPr>
        <w:t>м.Ужгород</w:t>
      </w:r>
      <w:proofErr w:type="spellEnd"/>
      <w:r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157C">
        <w:rPr>
          <w:rFonts w:ascii="Times New Roman" w:hAnsi="Times New Roman" w:cs="Times New Roman"/>
          <w:sz w:val="28"/>
          <w:szCs w:val="28"/>
        </w:rPr>
        <w:t xml:space="preserve"> </w:t>
      </w:r>
      <w:r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інімального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EF3146">
        <w:rPr>
          <w:rFonts w:ascii="Times New Roman" w:hAnsi="Times New Roman" w:cs="Times New Roman"/>
          <w:sz w:val="28"/>
          <w:szCs w:val="28"/>
          <w:lang w:val="uk-UA"/>
        </w:rPr>
        <w:t>55,1 грн. у Берегівському районі. В середньому по області цей показник складає 494,5 грн. на одного споживача, у низинній природно-економічній зоні – 598,8 грн., тобто на 21% вище за середнє значення по регіо</w:t>
      </w:r>
      <w:r w:rsidRPr="00EF3146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у,  у передгірній - 146, 2 грн. (або 30% від середнього  по області), у гірській  - 296,6 грн. або 60% від середнього  по області). </w:t>
      </w:r>
    </w:p>
    <w:p w:rsidR="0039157C" w:rsidRPr="00EF3146" w:rsidRDefault="0039157C" w:rsidP="003915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146">
        <w:rPr>
          <w:rFonts w:ascii="Times New Roman" w:hAnsi="Times New Roman" w:cs="Times New Roman"/>
          <w:sz w:val="28"/>
          <w:szCs w:val="28"/>
          <w:lang w:val="uk-UA"/>
        </w:rPr>
        <w:t>Характерною є концентрація підприємств у містах обласного значення – понад 64% всіх підприємств (815 одиниць), що  створюють 64% доходу в регіоні від надання послуг, розміщені в п’яти містах обласного підпо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рядкування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–Ужгороді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Мукачеві</w:t>
      </w:r>
      <w:r w:rsidRPr="00EF3146">
        <w:rPr>
          <w:rFonts w:ascii="Times New Roman" w:hAnsi="Times New Roman" w:cs="Times New Roman"/>
          <w:sz w:val="28"/>
          <w:szCs w:val="28"/>
          <w:lang w:val="uk-UA"/>
        </w:rPr>
        <w:t>, Чопі, Хусті, Береговому.</w:t>
      </w:r>
    </w:p>
    <w:p w:rsidR="00185825" w:rsidRPr="00EF3146" w:rsidRDefault="00185825" w:rsidP="007309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При аналізі розміщення підприємств за районами та містами доцільно враховувати концентрацію підприємств, оскільки критерій розміщення підприємств сфери послуг у близькості до потенційного </w:t>
      </w:r>
      <w:r w:rsidR="008259B6"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споживача </w:t>
      </w:r>
      <w:r w:rsidRPr="00EF3146">
        <w:rPr>
          <w:rFonts w:ascii="Times New Roman" w:hAnsi="Times New Roman" w:cs="Times New Roman"/>
          <w:sz w:val="28"/>
          <w:szCs w:val="28"/>
          <w:lang w:val="uk-UA"/>
        </w:rPr>
        <w:t>має особливе значення як для забезпечення ефективності роботи таких підприємниць</w:t>
      </w:r>
      <w:r w:rsidR="007C6514">
        <w:rPr>
          <w:rFonts w:ascii="Times New Roman" w:hAnsi="Times New Roman" w:cs="Times New Roman"/>
          <w:sz w:val="28"/>
          <w:szCs w:val="28"/>
          <w:lang w:val="uk-UA"/>
        </w:rPr>
        <w:t>ких</w:t>
      </w:r>
      <w:r w:rsidR="0039157C">
        <w:rPr>
          <w:rFonts w:ascii="Times New Roman" w:hAnsi="Times New Roman" w:cs="Times New Roman"/>
          <w:sz w:val="28"/>
          <w:szCs w:val="28"/>
          <w:lang w:val="uk-UA"/>
        </w:rPr>
        <w:t xml:space="preserve"> одиниць, так і для створення</w:t>
      </w:r>
      <w:r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 комфорту споживання населенням та підприємствами-споживачами послуг. Концентрацію можна визначати ви</w:t>
      </w:r>
      <w:r w:rsidR="007C6514">
        <w:rPr>
          <w:rFonts w:ascii="Times New Roman" w:hAnsi="Times New Roman" w:cs="Times New Roman"/>
          <w:sz w:val="28"/>
          <w:szCs w:val="28"/>
          <w:lang w:val="uk-UA"/>
        </w:rPr>
        <w:t>ходячи з позицій близькості (</w:t>
      </w:r>
      <w:r w:rsidRPr="00EF3146">
        <w:rPr>
          <w:rFonts w:ascii="Times New Roman" w:hAnsi="Times New Roman" w:cs="Times New Roman"/>
          <w:sz w:val="28"/>
          <w:szCs w:val="28"/>
          <w:lang w:val="uk-UA"/>
        </w:rPr>
        <w:t>щільності</w:t>
      </w:r>
      <w:r w:rsidR="007C651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 розміщення по відношенню до площі адміністративної одиниці та по відношенню до кількості проживаючих. </w:t>
      </w:r>
    </w:p>
    <w:p w:rsidR="002816E3" w:rsidRPr="002816E3" w:rsidRDefault="008259B6" w:rsidP="002816E3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1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3146">
        <w:rPr>
          <w:rFonts w:ascii="Times New Roman" w:hAnsi="Times New Roman" w:cs="Times New Roman"/>
          <w:sz w:val="28"/>
          <w:szCs w:val="28"/>
        </w:rPr>
        <w:t>Як видно з таблиц</w:t>
      </w:r>
      <w:r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і 2, найгірша ситуація із концентрацією </w:t>
      </w:r>
      <w:proofErr w:type="gramStart"/>
      <w:r w:rsidRPr="00EF3146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ідприємств в розрахунку на 10 тис. населення – у передгірній природно-економічній зоні (4,33 од. на 10 тис. населення), найкраща – у низинній (16,28 од.). У гірській зоні цей показник становить 5,81 од., тобто 57% від середнього по області значення. Однак пояснення такому завищеному значення показнику у низинній зоні можна дати виходячи з факту розміщення </w:t>
      </w:r>
      <w:r w:rsidR="007C6514">
        <w:rPr>
          <w:rFonts w:ascii="Times New Roman" w:hAnsi="Times New Roman" w:cs="Times New Roman"/>
          <w:sz w:val="28"/>
          <w:szCs w:val="28"/>
          <w:lang w:val="uk-UA"/>
        </w:rPr>
        <w:t xml:space="preserve"> у ній </w:t>
      </w:r>
      <w:r w:rsidRPr="00EF3146">
        <w:rPr>
          <w:rFonts w:ascii="Times New Roman" w:hAnsi="Times New Roman" w:cs="Times New Roman"/>
          <w:sz w:val="28"/>
          <w:szCs w:val="28"/>
          <w:lang w:val="uk-UA"/>
        </w:rPr>
        <w:t>чотирьох з п’ят</w:t>
      </w:r>
      <w:r w:rsidR="007C6514">
        <w:rPr>
          <w:rFonts w:ascii="Times New Roman" w:hAnsi="Times New Roman" w:cs="Times New Roman"/>
          <w:sz w:val="28"/>
          <w:szCs w:val="28"/>
          <w:lang w:val="uk-UA"/>
        </w:rPr>
        <w:t>и  міст обласного значення</w:t>
      </w:r>
      <w:r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 (в тому числі обласного центру), в яких зосереджується переважна більшість обслуговуючих підприємств регіону. </w:t>
      </w:r>
    </w:p>
    <w:p w:rsidR="008259B6" w:rsidRPr="00160065" w:rsidRDefault="00160065" w:rsidP="00730952">
      <w:pPr>
        <w:tabs>
          <w:tab w:val="left" w:pos="960"/>
        </w:tabs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60065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Таблиця 2</w:t>
      </w:r>
    </w:p>
    <w:p w:rsidR="001D6E3E" w:rsidRPr="00EF3146" w:rsidRDefault="001D6E3E" w:rsidP="00EF314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3146">
        <w:rPr>
          <w:rFonts w:ascii="Times New Roman" w:hAnsi="Times New Roman" w:cs="Times New Roman"/>
          <w:b/>
          <w:sz w:val="28"/>
          <w:szCs w:val="28"/>
          <w:lang w:val="uk-UA"/>
        </w:rPr>
        <w:t>Розміщення підприємств сфери послуг за природно-економічними зонами Закарпаття</w:t>
      </w:r>
      <w:r w:rsidR="008259B6" w:rsidRPr="00EF31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EF3146">
        <w:rPr>
          <w:rFonts w:ascii="Times New Roman" w:hAnsi="Times New Roman" w:cs="Times New Roman"/>
          <w:b/>
          <w:sz w:val="28"/>
          <w:szCs w:val="28"/>
          <w:lang w:val="uk-UA"/>
        </w:rPr>
        <w:t>2011 р.</w:t>
      </w:r>
    </w:p>
    <w:tbl>
      <w:tblPr>
        <w:tblStyle w:val="a3"/>
        <w:tblW w:w="0" w:type="auto"/>
        <w:tblLook w:val="04A0"/>
      </w:tblPr>
      <w:tblGrid>
        <w:gridCol w:w="4498"/>
        <w:gridCol w:w="1424"/>
        <w:gridCol w:w="1104"/>
        <w:gridCol w:w="1258"/>
        <w:gridCol w:w="1287"/>
      </w:tblGrid>
      <w:tr w:rsidR="004B027D" w:rsidRPr="00160065" w:rsidTr="00B760D7">
        <w:trPr>
          <w:trHeight w:val="232"/>
        </w:trPr>
        <w:tc>
          <w:tcPr>
            <w:tcW w:w="4498" w:type="dxa"/>
            <w:vMerge w:val="restart"/>
          </w:tcPr>
          <w:p w:rsidR="001D6E3E" w:rsidRPr="00160065" w:rsidRDefault="001D6E3E" w:rsidP="00160065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  <w:vMerge w:val="restart"/>
            <w:tcBorders>
              <w:right w:val="single" w:sz="4" w:space="0" w:color="auto"/>
            </w:tcBorders>
          </w:tcPr>
          <w:p w:rsidR="001D6E3E" w:rsidRPr="00160065" w:rsidRDefault="004B027D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чисельність н</w:t>
            </w:r>
            <w:r w:rsidR="001D6E3E"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аселення</w:t>
            </w: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2011 рік</w:t>
            </w:r>
          </w:p>
          <w:p w:rsidR="001D6E3E" w:rsidRPr="00160065" w:rsidRDefault="001D6E3E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4B027D"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</w:t>
            </w: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  <w:proofErr w:type="spellEnd"/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E3E" w:rsidRPr="00160065" w:rsidRDefault="001D6E3E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</w:t>
            </w:r>
          </w:p>
          <w:p w:rsidR="00B760D7" w:rsidRPr="00160065" w:rsidRDefault="00B760D7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16006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60065">
              <w:rPr>
                <w:rFonts w:ascii="Times New Roman" w:hAnsi="Times New Roman" w:cs="Times New Roman"/>
                <w:sz w:val="24"/>
                <w:szCs w:val="24"/>
              </w:rPr>
              <w:t>тер.</w:t>
            </w:r>
          </w:p>
          <w:p w:rsidR="00B760D7" w:rsidRPr="00160065" w:rsidRDefault="00B760D7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0065">
              <w:rPr>
                <w:rFonts w:ascii="Times New Roman" w:hAnsi="Times New Roman" w:cs="Times New Roman"/>
                <w:sz w:val="24"/>
                <w:szCs w:val="24"/>
              </w:rPr>
              <w:t>одиниц</w:t>
            </w:r>
            <w:proofErr w:type="spellEnd"/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  <w:p w:rsidR="001D6E3E" w:rsidRPr="00160065" w:rsidRDefault="001D6E3E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4B027D"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</w:t>
            </w: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</w:t>
            </w:r>
            <w:proofErr w:type="spellEnd"/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B027D"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D6E3E" w:rsidRPr="00160065" w:rsidRDefault="001D6E3E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Концентрація </w:t>
            </w:r>
            <w:r w:rsidR="00DF754D"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діючих </w:t>
            </w: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</w:t>
            </w:r>
            <w:r w:rsidR="00DF754D"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(одиниць)</w:t>
            </w:r>
          </w:p>
        </w:tc>
      </w:tr>
      <w:tr w:rsidR="004B027D" w:rsidRPr="00160065" w:rsidTr="00B760D7">
        <w:trPr>
          <w:trHeight w:val="188"/>
        </w:trPr>
        <w:tc>
          <w:tcPr>
            <w:tcW w:w="4498" w:type="dxa"/>
            <w:vMerge/>
          </w:tcPr>
          <w:p w:rsidR="001D6E3E" w:rsidRPr="00160065" w:rsidRDefault="001D6E3E" w:rsidP="00160065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  <w:vMerge/>
            <w:tcBorders>
              <w:right w:val="single" w:sz="4" w:space="0" w:color="auto"/>
            </w:tcBorders>
          </w:tcPr>
          <w:p w:rsidR="001D6E3E" w:rsidRPr="00160065" w:rsidRDefault="001D6E3E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E3E" w:rsidRPr="00160065" w:rsidRDefault="001D6E3E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E3E" w:rsidRPr="00160065" w:rsidRDefault="00B760D7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10 тис. населення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:rsidR="001D6E3E" w:rsidRPr="00160065" w:rsidRDefault="006A342C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D6E3E"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="00DF754D"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  <w:proofErr w:type="spellStart"/>
            <w:r w:rsidR="001D6E3E"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</w:t>
            </w:r>
            <w:proofErr w:type="gramStart"/>
            <w:r w:rsidR="001D6E3E"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.к</w:t>
            </w:r>
            <w:proofErr w:type="gramEnd"/>
            <w:r w:rsidR="001D6E3E"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End"/>
            <w:r w:rsidR="001D6E3E"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B027D" w:rsidRPr="00160065" w:rsidTr="00B760D7">
        <w:tc>
          <w:tcPr>
            <w:tcW w:w="4498" w:type="dxa"/>
          </w:tcPr>
          <w:p w:rsidR="004B027D" w:rsidRPr="00160065" w:rsidRDefault="004B027D" w:rsidP="00160065">
            <w:pPr>
              <w:tabs>
                <w:tab w:val="left" w:pos="98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Гірська, 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4B027D" w:rsidRPr="00160065" w:rsidRDefault="00732528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275,5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4B027D" w:rsidRPr="00160065" w:rsidRDefault="00B760D7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</w:rPr>
              <w:t>5716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4B027D" w:rsidRPr="00160065" w:rsidRDefault="00AE338E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5,81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4B027D" w:rsidRPr="00160065" w:rsidRDefault="00DF754D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</w:t>
            </w:r>
          </w:p>
        </w:tc>
      </w:tr>
      <w:tr w:rsidR="00B760D7" w:rsidRPr="00160065" w:rsidTr="00B760D7">
        <w:tc>
          <w:tcPr>
            <w:tcW w:w="4498" w:type="dxa"/>
          </w:tcPr>
          <w:p w:rsidR="00B760D7" w:rsidRPr="007C6514" w:rsidRDefault="00B760D7" w:rsidP="00160065">
            <w:pPr>
              <w:tabs>
                <w:tab w:val="left" w:pos="98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C651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 т. ч. райони</w:t>
            </w:r>
          </w:p>
        </w:tc>
        <w:tc>
          <w:tcPr>
            <w:tcW w:w="5073" w:type="dxa"/>
            <w:gridSpan w:val="4"/>
          </w:tcPr>
          <w:p w:rsidR="00B760D7" w:rsidRPr="00160065" w:rsidRDefault="00B760D7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027D" w:rsidRPr="00160065" w:rsidTr="00B760D7">
        <w:tc>
          <w:tcPr>
            <w:tcW w:w="4498" w:type="dxa"/>
            <w:vAlign w:val="center"/>
          </w:tcPr>
          <w:p w:rsidR="004B027D" w:rsidRPr="00160065" w:rsidRDefault="004B027D" w:rsidP="00160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Великоберезнянський</w:t>
            </w:r>
            <w:proofErr w:type="spellEnd"/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4B027D" w:rsidRPr="00160065" w:rsidRDefault="00732528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26,6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4B027D" w:rsidRPr="00160065" w:rsidRDefault="00FF4E82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4B027D" w:rsidRPr="00160065" w:rsidRDefault="00AE338E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4,51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4B027D" w:rsidRPr="00160065" w:rsidRDefault="00DF754D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</w:t>
            </w:r>
          </w:p>
        </w:tc>
      </w:tr>
      <w:tr w:rsidR="004B027D" w:rsidRPr="00160065" w:rsidTr="00B760D7">
        <w:tc>
          <w:tcPr>
            <w:tcW w:w="4498" w:type="dxa"/>
            <w:vAlign w:val="center"/>
          </w:tcPr>
          <w:p w:rsidR="004B027D" w:rsidRPr="00160065" w:rsidRDefault="004B027D" w:rsidP="00160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Воловецький</w:t>
            </w:r>
            <w:proofErr w:type="spellEnd"/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4B027D" w:rsidRPr="00160065" w:rsidRDefault="00732528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24,5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4B027D" w:rsidRPr="00160065" w:rsidRDefault="00FF4E82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544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4B027D" w:rsidRPr="00160065" w:rsidRDefault="00AE338E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4,49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4B027D" w:rsidRPr="00160065" w:rsidRDefault="00DF754D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0,45</w:t>
            </w:r>
          </w:p>
        </w:tc>
      </w:tr>
      <w:tr w:rsidR="004B027D" w:rsidRPr="00160065" w:rsidTr="00B760D7">
        <w:tc>
          <w:tcPr>
            <w:tcW w:w="4498" w:type="dxa"/>
            <w:vAlign w:val="center"/>
          </w:tcPr>
          <w:p w:rsidR="004B027D" w:rsidRPr="00160065" w:rsidRDefault="004B027D" w:rsidP="00160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Міжгірський</w:t>
            </w:r>
            <w:proofErr w:type="spellEnd"/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4B027D" w:rsidRPr="00160065" w:rsidRDefault="00732528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4B027D" w:rsidRPr="00160065" w:rsidRDefault="00FF4E82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1163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4B027D" w:rsidRPr="00160065" w:rsidRDefault="00AE338E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6,88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4B027D" w:rsidRPr="00160065" w:rsidRDefault="00DF754D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</w:tr>
      <w:tr w:rsidR="004B027D" w:rsidRPr="00160065" w:rsidTr="00B760D7">
        <w:tc>
          <w:tcPr>
            <w:tcW w:w="4498" w:type="dxa"/>
            <w:vAlign w:val="center"/>
          </w:tcPr>
          <w:p w:rsidR="004B027D" w:rsidRPr="00160065" w:rsidRDefault="004B027D" w:rsidP="00160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Перечинський</w:t>
            </w:r>
            <w:proofErr w:type="spellEnd"/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4B027D" w:rsidRPr="00160065" w:rsidRDefault="00732528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31,5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4B027D" w:rsidRPr="00160065" w:rsidRDefault="00FF4E82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AE338E" w:rsidRPr="00160065" w:rsidRDefault="00AE338E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5,34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4B027D" w:rsidRPr="00160065" w:rsidRDefault="00DF754D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0,27</w:t>
            </w:r>
          </w:p>
        </w:tc>
      </w:tr>
      <w:tr w:rsidR="004B027D" w:rsidRPr="00160065" w:rsidTr="00B760D7">
        <w:tc>
          <w:tcPr>
            <w:tcW w:w="4498" w:type="dxa"/>
            <w:vAlign w:val="center"/>
          </w:tcPr>
          <w:p w:rsidR="004B027D" w:rsidRPr="00160065" w:rsidRDefault="004B027D" w:rsidP="00160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Рахівський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4B027D" w:rsidRPr="00160065" w:rsidRDefault="00732528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91,2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4B027D" w:rsidRPr="00160065" w:rsidRDefault="00FF4E82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1892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DE60CD" w:rsidRPr="00160065" w:rsidRDefault="00DE60CD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5,27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4B027D" w:rsidRPr="00160065" w:rsidRDefault="006A342C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</w:tr>
      <w:tr w:rsidR="004B027D" w:rsidRPr="00160065" w:rsidTr="00B760D7">
        <w:tc>
          <w:tcPr>
            <w:tcW w:w="4498" w:type="dxa"/>
            <w:vAlign w:val="center"/>
          </w:tcPr>
          <w:p w:rsidR="004B027D" w:rsidRPr="00160065" w:rsidRDefault="004B027D" w:rsidP="00160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Свалявський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4B027D" w:rsidRPr="00160065" w:rsidRDefault="00732528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53,7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4B027D" w:rsidRPr="00160065" w:rsidRDefault="00FF4E82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676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4B027D" w:rsidRPr="00160065" w:rsidRDefault="00DE60CD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7,26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4B027D" w:rsidRPr="00160065" w:rsidRDefault="006A342C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0,58</w:t>
            </w:r>
          </w:p>
        </w:tc>
      </w:tr>
      <w:tr w:rsidR="004B027D" w:rsidRPr="00160065" w:rsidTr="00B760D7">
        <w:tc>
          <w:tcPr>
            <w:tcW w:w="4498" w:type="dxa"/>
            <w:vAlign w:val="center"/>
          </w:tcPr>
          <w:p w:rsidR="004B027D" w:rsidRPr="00160065" w:rsidRDefault="004B027D" w:rsidP="001600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Передгірна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4B027D" w:rsidRPr="00160065" w:rsidRDefault="00732528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399,2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4B027D" w:rsidRPr="00160065" w:rsidRDefault="00B760D7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3771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4B027D" w:rsidRPr="00160065" w:rsidRDefault="00DE60CD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4,33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4B027D" w:rsidRPr="00160065" w:rsidRDefault="006A342C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0,57</w:t>
            </w:r>
          </w:p>
        </w:tc>
      </w:tr>
      <w:tr w:rsidR="00B760D7" w:rsidRPr="00160065" w:rsidTr="004C524E">
        <w:tc>
          <w:tcPr>
            <w:tcW w:w="4498" w:type="dxa"/>
            <w:vAlign w:val="center"/>
          </w:tcPr>
          <w:p w:rsidR="00B760D7" w:rsidRPr="00160065" w:rsidRDefault="007C6514" w:rsidP="0016006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м</w:t>
            </w:r>
            <w:r w:rsidR="00B760D7" w:rsidRPr="0016006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іста:</w:t>
            </w:r>
          </w:p>
        </w:tc>
        <w:tc>
          <w:tcPr>
            <w:tcW w:w="5073" w:type="dxa"/>
            <w:gridSpan w:val="4"/>
          </w:tcPr>
          <w:p w:rsidR="00B760D7" w:rsidRPr="00160065" w:rsidRDefault="00B760D7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027D" w:rsidRPr="00160065" w:rsidTr="00B760D7">
        <w:tc>
          <w:tcPr>
            <w:tcW w:w="4498" w:type="dxa"/>
            <w:vAlign w:val="center"/>
          </w:tcPr>
          <w:p w:rsidR="004B027D" w:rsidRPr="00160065" w:rsidRDefault="004B027D" w:rsidP="00160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Хуст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4B027D" w:rsidRPr="00160065" w:rsidRDefault="00732528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31,2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4B027D" w:rsidRPr="00160065" w:rsidRDefault="00FF4E82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4B027D" w:rsidRPr="00160065" w:rsidRDefault="00DE60CD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18,27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4B027D" w:rsidRPr="00160065" w:rsidRDefault="006A342C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51,82</w:t>
            </w:r>
          </w:p>
        </w:tc>
      </w:tr>
      <w:tr w:rsidR="004B027D" w:rsidRPr="00160065" w:rsidTr="00B760D7">
        <w:tc>
          <w:tcPr>
            <w:tcW w:w="4498" w:type="dxa"/>
            <w:vAlign w:val="center"/>
          </w:tcPr>
          <w:p w:rsidR="004B027D" w:rsidRPr="00160065" w:rsidRDefault="007C6514" w:rsidP="0016006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</w:t>
            </w:r>
            <w:r w:rsidR="004B027D" w:rsidRPr="0016006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айони: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4B027D" w:rsidRPr="00160065" w:rsidRDefault="004B027D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4B027D" w:rsidRPr="00160065" w:rsidRDefault="004B027D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4B027D" w:rsidRPr="00160065" w:rsidRDefault="004B027D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4B027D" w:rsidRPr="00160065" w:rsidRDefault="004B027D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027D" w:rsidRPr="00160065" w:rsidTr="00B760D7">
        <w:tc>
          <w:tcPr>
            <w:tcW w:w="4498" w:type="dxa"/>
            <w:vAlign w:val="center"/>
          </w:tcPr>
          <w:p w:rsidR="004B027D" w:rsidRPr="00160065" w:rsidRDefault="004B027D" w:rsidP="00160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Іршавський</w:t>
            </w:r>
            <w:proofErr w:type="spellEnd"/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4B027D" w:rsidRPr="00160065" w:rsidRDefault="00732528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99,1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4B027D" w:rsidRPr="00160065" w:rsidRDefault="00FF4E82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944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4B027D" w:rsidRPr="00160065" w:rsidRDefault="00DE60CD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4,04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4B027D" w:rsidRPr="00160065" w:rsidRDefault="006A342C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0,42</w:t>
            </w:r>
          </w:p>
        </w:tc>
      </w:tr>
      <w:tr w:rsidR="004B027D" w:rsidRPr="00160065" w:rsidTr="00B760D7">
        <w:tc>
          <w:tcPr>
            <w:tcW w:w="4498" w:type="dxa"/>
            <w:vAlign w:val="center"/>
          </w:tcPr>
          <w:p w:rsidR="004B027D" w:rsidRPr="00160065" w:rsidRDefault="004B027D" w:rsidP="00160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Тячівський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4B027D" w:rsidRPr="00160065" w:rsidRDefault="00732528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172,9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4B027D" w:rsidRPr="00160065" w:rsidRDefault="00FF4E82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1818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4B027D" w:rsidRPr="00160065" w:rsidRDefault="00DE60CD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4B027D" w:rsidRPr="00160065" w:rsidRDefault="006A342C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0,35</w:t>
            </w:r>
          </w:p>
        </w:tc>
      </w:tr>
      <w:tr w:rsidR="004B027D" w:rsidRPr="00160065" w:rsidTr="00B760D7">
        <w:tc>
          <w:tcPr>
            <w:tcW w:w="4498" w:type="dxa"/>
            <w:vAlign w:val="center"/>
          </w:tcPr>
          <w:p w:rsidR="004B027D" w:rsidRPr="00160065" w:rsidRDefault="004B027D" w:rsidP="00160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Хустський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4B027D" w:rsidRPr="00160065" w:rsidRDefault="00732528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95,8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4B027D" w:rsidRPr="00160065" w:rsidRDefault="00FF4E82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998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4B027D" w:rsidRPr="00160065" w:rsidRDefault="00DE60CD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1,25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4B027D" w:rsidRPr="00160065" w:rsidRDefault="006A342C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0,12</w:t>
            </w:r>
          </w:p>
        </w:tc>
      </w:tr>
      <w:tr w:rsidR="004B027D" w:rsidRPr="00160065" w:rsidTr="00B760D7">
        <w:tc>
          <w:tcPr>
            <w:tcW w:w="4498" w:type="dxa"/>
            <w:vAlign w:val="center"/>
          </w:tcPr>
          <w:p w:rsidR="004B027D" w:rsidRPr="00160065" w:rsidRDefault="004B027D" w:rsidP="0016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Низинна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4B027D" w:rsidRPr="00160065" w:rsidRDefault="00732528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571,9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4B027D" w:rsidRPr="00160065" w:rsidRDefault="00B760D7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3270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4B027D" w:rsidRPr="00160065" w:rsidRDefault="00DE60CD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16,28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4B027D" w:rsidRPr="00160065" w:rsidRDefault="006A342C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2,85</w:t>
            </w:r>
          </w:p>
        </w:tc>
      </w:tr>
      <w:tr w:rsidR="004B027D" w:rsidRPr="00160065" w:rsidTr="00B760D7">
        <w:tc>
          <w:tcPr>
            <w:tcW w:w="4498" w:type="dxa"/>
            <w:vAlign w:val="center"/>
          </w:tcPr>
          <w:p w:rsidR="004B027D" w:rsidRPr="00160065" w:rsidRDefault="004B027D" w:rsidP="0016006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 т.ч. міста: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4B027D" w:rsidRPr="00160065" w:rsidRDefault="004B027D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4B027D" w:rsidRPr="00160065" w:rsidRDefault="004B027D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4B027D" w:rsidRPr="00160065" w:rsidRDefault="004B027D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4B027D" w:rsidRPr="00160065" w:rsidRDefault="004B027D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027D" w:rsidRPr="00160065" w:rsidTr="00B760D7">
        <w:tc>
          <w:tcPr>
            <w:tcW w:w="4498" w:type="dxa"/>
            <w:vAlign w:val="center"/>
          </w:tcPr>
          <w:p w:rsidR="004B027D" w:rsidRPr="00160065" w:rsidRDefault="004B027D" w:rsidP="00160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Ужгород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4B027D" w:rsidRPr="00160065" w:rsidRDefault="00B760D7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114,9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4B027D" w:rsidRPr="00160065" w:rsidRDefault="00FF4E82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4B027D" w:rsidRPr="00160065" w:rsidRDefault="00DE60CD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42,38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4B027D" w:rsidRPr="00160065" w:rsidRDefault="006A342C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147,6</w:t>
            </w:r>
          </w:p>
        </w:tc>
      </w:tr>
      <w:tr w:rsidR="004B027D" w:rsidRPr="00160065" w:rsidTr="00B760D7">
        <w:tc>
          <w:tcPr>
            <w:tcW w:w="4498" w:type="dxa"/>
            <w:vAlign w:val="center"/>
          </w:tcPr>
          <w:p w:rsidR="004B027D" w:rsidRPr="00160065" w:rsidRDefault="004B027D" w:rsidP="00160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Берегово 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4B027D" w:rsidRPr="00160065" w:rsidRDefault="00B760D7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24,2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4B027D" w:rsidRPr="00160065" w:rsidRDefault="00FF4E82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4B027D" w:rsidRPr="00160065" w:rsidRDefault="00DE60CD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23,14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4B027D" w:rsidRPr="00160065" w:rsidRDefault="006A342C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37,33</w:t>
            </w:r>
          </w:p>
        </w:tc>
      </w:tr>
      <w:tr w:rsidR="004B027D" w:rsidRPr="00160065" w:rsidTr="00B760D7">
        <w:tc>
          <w:tcPr>
            <w:tcW w:w="4498" w:type="dxa"/>
            <w:vAlign w:val="center"/>
          </w:tcPr>
          <w:p w:rsidR="004B027D" w:rsidRPr="00160065" w:rsidRDefault="004B027D" w:rsidP="00160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Мукачево</w:t>
            </w:r>
            <w:proofErr w:type="spellEnd"/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4B027D" w:rsidRPr="00160065" w:rsidRDefault="00B760D7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83,7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4B027D" w:rsidRPr="00160065" w:rsidRDefault="00FF4E82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4B027D" w:rsidRPr="00160065" w:rsidRDefault="00DE60CD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22,3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4B027D" w:rsidRPr="00160065" w:rsidRDefault="006A342C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66,79</w:t>
            </w:r>
          </w:p>
        </w:tc>
      </w:tr>
      <w:tr w:rsidR="004B027D" w:rsidRPr="00160065" w:rsidTr="00B760D7">
        <w:tc>
          <w:tcPr>
            <w:tcW w:w="4498" w:type="dxa"/>
            <w:vAlign w:val="center"/>
          </w:tcPr>
          <w:p w:rsidR="004B027D" w:rsidRPr="00160065" w:rsidRDefault="004B027D" w:rsidP="00160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Чоп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4B027D" w:rsidRPr="00160065" w:rsidRDefault="00B760D7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8,9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4B027D" w:rsidRPr="00160065" w:rsidRDefault="00FF4E82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4B027D" w:rsidRPr="00160065" w:rsidRDefault="00DE60CD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31,5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4B027D" w:rsidRPr="00160065" w:rsidRDefault="006A342C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140,0</w:t>
            </w:r>
          </w:p>
        </w:tc>
      </w:tr>
      <w:tr w:rsidR="004B027D" w:rsidRPr="00160065" w:rsidTr="00B760D7">
        <w:tc>
          <w:tcPr>
            <w:tcW w:w="4498" w:type="dxa"/>
            <w:vAlign w:val="center"/>
          </w:tcPr>
          <w:p w:rsidR="004B027D" w:rsidRPr="00160065" w:rsidRDefault="004B027D" w:rsidP="0016006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Райони: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4B027D" w:rsidRPr="00160065" w:rsidRDefault="004B027D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4B027D" w:rsidRPr="00160065" w:rsidRDefault="004B027D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4B027D" w:rsidRPr="00160065" w:rsidRDefault="004B027D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4B027D" w:rsidRPr="00160065" w:rsidRDefault="004B027D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027D" w:rsidRPr="00160065" w:rsidTr="00B760D7">
        <w:tc>
          <w:tcPr>
            <w:tcW w:w="4498" w:type="dxa"/>
            <w:vAlign w:val="center"/>
          </w:tcPr>
          <w:p w:rsidR="004B027D" w:rsidRPr="00160065" w:rsidRDefault="004B027D" w:rsidP="00160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Берегівський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4B027D" w:rsidRPr="00160065" w:rsidRDefault="00B760D7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51,9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4B027D" w:rsidRPr="00160065" w:rsidRDefault="004B027D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654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4B027D" w:rsidRPr="00160065" w:rsidRDefault="00DE60CD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2,31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4B027D" w:rsidRPr="00160065" w:rsidRDefault="006A342C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0,18</w:t>
            </w:r>
          </w:p>
        </w:tc>
      </w:tr>
      <w:tr w:rsidR="004B027D" w:rsidRPr="00160065" w:rsidTr="00B760D7">
        <w:tc>
          <w:tcPr>
            <w:tcW w:w="4498" w:type="dxa"/>
            <w:vAlign w:val="center"/>
          </w:tcPr>
          <w:p w:rsidR="004B027D" w:rsidRPr="00160065" w:rsidRDefault="004B027D" w:rsidP="00160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Виноградівський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4B027D" w:rsidRPr="00160065" w:rsidRDefault="00B760D7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118,9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4B027D" w:rsidRPr="00160065" w:rsidRDefault="00FF4E82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695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4B027D" w:rsidRPr="00160065" w:rsidRDefault="00DE60CD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3,87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4B027D" w:rsidRPr="00160065" w:rsidRDefault="006A342C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0,66</w:t>
            </w:r>
          </w:p>
        </w:tc>
      </w:tr>
      <w:tr w:rsidR="004B027D" w:rsidRPr="00160065" w:rsidTr="00B760D7">
        <w:tc>
          <w:tcPr>
            <w:tcW w:w="4498" w:type="dxa"/>
            <w:vAlign w:val="center"/>
          </w:tcPr>
          <w:p w:rsidR="004B027D" w:rsidRPr="00160065" w:rsidRDefault="004B027D" w:rsidP="00160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Мукачівський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4B027D" w:rsidRPr="00160065" w:rsidRDefault="00B760D7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100,6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4B027D" w:rsidRPr="00160065" w:rsidRDefault="00FF4E82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997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4B027D" w:rsidRPr="00160065" w:rsidRDefault="00DE60CD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3,98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4B027D" w:rsidRPr="00160065" w:rsidRDefault="006A342C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0,40</w:t>
            </w:r>
          </w:p>
        </w:tc>
      </w:tr>
      <w:tr w:rsidR="004B027D" w:rsidRPr="00160065" w:rsidTr="00B760D7">
        <w:tc>
          <w:tcPr>
            <w:tcW w:w="4498" w:type="dxa"/>
            <w:vAlign w:val="center"/>
          </w:tcPr>
          <w:p w:rsidR="004B027D" w:rsidRPr="00160065" w:rsidRDefault="004B027D" w:rsidP="00160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Ужгородський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4B027D" w:rsidRPr="00160065" w:rsidRDefault="00732528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68,6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4B027D" w:rsidRPr="00160065" w:rsidRDefault="00FF4E82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866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4B027D" w:rsidRPr="00160065" w:rsidRDefault="00DE60CD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11,66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4B027D" w:rsidRPr="00160065" w:rsidRDefault="006A342C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0,92</w:t>
            </w:r>
          </w:p>
        </w:tc>
      </w:tr>
      <w:tr w:rsidR="004B027D" w:rsidRPr="00160065" w:rsidTr="00B760D7">
        <w:tc>
          <w:tcPr>
            <w:tcW w:w="4498" w:type="dxa"/>
          </w:tcPr>
          <w:p w:rsidR="004B027D" w:rsidRPr="007C6514" w:rsidRDefault="004B027D" w:rsidP="00160065">
            <w:pPr>
              <w:tabs>
                <w:tab w:val="left" w:pos="98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65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 області: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4B027D" w:rsidRPr="007C6514" w:rsidRDefault="00B760D7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65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1246,2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4B027D" w:rsidRPr="007C6514" w:rsidRDefault="00B760D7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65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12 777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4B027D" w:rsidRPr="007C6514" w:rsidRDefault="006A342C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65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10,19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4B027D" w:rsidRPr="007C6514" w:rsidRDefault="006A342C" w:rsidP="0016006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65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0,99</w:t>
            </w:r>
          </w:p>
        </w:tc>
      </w:tr>
    </w:tbl>
    <w:p w:rsidR="00160065" w:rsidRPr="002816E3" w:rsidRDefault="00B3194D" w:rsidP="00D9199D">
      <w:pPr>
        <w:spacing w:line="360" w:lineRule="auto"/>
        <w:ind w:hanging="142"/>
        <w:rPr>
          <w:rFonts w:ascii="Times New Roman" w:hAnsi="Times New Roman" w:cs="Times New Roman"/>
          <w:sz w:val="28"/>
          <w:szCs w:val="28"/>
          <w:lang w:val="en-US"/>
        </w:rPr>
      </w:pPr>
      <w:r w:rsidRPr="00EF314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60065">
        <w:rPr>
          <w:rFonts w:ascii="Times New Roman" w:hAnsi="Times New Roman" w:cs="Times New Roman"/>
          <w:sz w:val="28"/>
          <w:szCs w:val="28"/>
          <w:lang w:val="uk-UA"/>
        </w:rPr>
        <w:t>Розроблено автором за даними</w:t>
      </w:r>
      <w:r w:rsidR="00281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16E3">
        <w:rPr>
          <w:rFonts w:ascii="Times New Roman" w:hAnsi="Times New Roman" w:cs="Times New Roman"/>
          <w:sz w:val="28"/>
          <w:szCs w:val="28"/>
          <w:lang w:val="en-US"/>
        </w:rPr>
        <w:t>[7-8]</w:t>
      </w:r>
    </w:p>
    <w:p w:rsidR="002816E3" w:rsidRPr="00EF3146" w:rsidRDefault="008149AB" w:rsidP="002816E3">
      <w:p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14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2816E3"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Однак при абстрагуванні від показників концентрації підприємств у містах, можна помітити, що саме райони гірської природно-економічної зони наближаються за цим показником до середнього значення по області, а </w:t>
      </w:r>
      <w:r w:rsidR="002816E3">
        <w:rPr>
          <w:rFonts w:ascii="Times New Roman" w:hAnsi="Times New Roman" w:cs="Times New Roman"/>
          <w:sz w:val="28"/>
          <w:szCs w:val="28"/>
          <w:lang w:val="uk-UA"/>
        </w:rPr>
        <w:t xml:space="preserve">саме </w:t>
      </w:r>
      <w:r w:rsidR="002816E3"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значення показника суттєво не відхиляється від району до району в межах вказаної природно-економічної зони (від 4,49 од. у </w:t>
      </w:r>
      <w:proofErr w:type="spellStart"/>
      <w:r w:rsidR="002816E3" w:rsidRPr="00EF3146">
        <w:rPr>
          <w:rFonts w:ascii="Times New Roman" w:hAnsi="Times New Roman" w:cs="Times New Roman"/>
          <w:sz w:val="28"/>
          <w:szCs w:val="28"/>
          <w:lang w:val="uk-UA"/>
        </w:rPr>
        <w:t>Воловецькому</w:t>
      </w:r>
      <w:proofErr w:type="spellEnd"/>
      <w:r w:rsidR="002816E3"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 районі до 7,26 у Свалявському). У сільській місцевості передгірної зони це значення </w:t>
      </w:r>
      <w:r w:rsidR="002816E3" w:rsidRPr="00EF314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становить від 1,25 у Хустському районі до 4,04 у </w:t>
      </w:r>
      <w:proofErr w:type="spellStart"/>
      <w:r w:rsidR="002816E3" w:rsidRPr="00EF3146">
        <w:rPr>
          <w:rFonts w:ascii="Times New Roman" w:hAnsi="Times New Roman" w:cs="Times New Roman"/>
          <w:sz w:val="28"/>
          <w:szCs w:val="28"/>
          <w:lang w:val="uk-UA"/>
        </w:rPr>
        <w:t>Іршавському</w:t>
      </w:r>
      <w:proofErr w:type="spellEnd"/>
      <w:r w:rsidR="002816E3"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, у низинній – від 2,31 у Берегівському районі до 11,66 в Ужгородському.   </w:t>
      </w:r>
    </w:p>
    <w:p w:rsidR="002816E3" w:rsidRPr="00EF3146" w:rsidRDefault="002816E3" w:rsidP="002816E3">
      <w:pPr>
        <w:tabs>
          <w:tab w:val="left" w:pos="96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31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F3146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ожна припустити, що наведені дані свідча</w:t>
      </w:r>
      <w:r w:rsidRPr="00EF3146">
        <w:rPr>
          <w:rFonts w:ascii="Times New Roman" w:hAnsi="Times New Roman" w:cs="Times New Roman"/>
          <w:sz w:val="28"/>
          <w:szCs w:val="28"/>
          <w:lang w:val="uk-UA"/>
        </w:rPr>
        <w:t>ть про відносно негативний вплив розміщення великих міст у низинній та передгірній зонах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розвиток сфери обслуговування у наближених позаміських зонах</w:t>
      </w:r>
      <w:r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, що призводить до «перетягування» підприємницької діяльності з сільської місцевості у міста, де умови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EF3146">
        <w:rPr>
          <w:rFonts w:ascii="Times New Roman" w:hAnsi="Times New Roman" w:cs="Times New Roman"/>
          <w:sz w:val="28"/>
          <w:szCs w:val="28"/>
          <w:lang w:val="uk-UA"/>
        </w:rPr>
        <w:t>здійс</w:t>
      </w:r>
      <w:r>
        <w:rPr>
          <w:rFonts w:ascii="Times New Roman" w:hAnsi="Times New Roman" w:cs="Times New Roman"/>
          <w:sz w:val="28"/>
          <w:szCs w:val="28"/>
          <w:lang w:val="uk-UA"/>
        </w:rPr>
        <w:t>нення</w:t>
      </w:r>
      <w:r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 більш сприятливі. В той </w:t>
      </w:r>
      <w:r>
        <w:rPr>
          <w:rFonts w:ascii="Times New Roman" w:hAnsi="Times New Roman" w:cs="Times New Roman"/>
          <w:sz w:val="28"/>
          <w:szCs w:val="28"/>
          <w:lang w:val="uk-UA"/>
        </w:rPr>
        <w:t>же час</w:t>
      </w:r>
      <w:r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 за відсутності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впливу </w:t>
      </w:r>
      <w:r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великих міст обласного підпорядкування у гірській зоні розміщення і функціонування підприємств сфери послуг, що обслуговують споживачів на ринкових умовах, здійснюється більш рівномірно. </w:t>
      </w:r>
    </w:p>
    <w:p w:rsidR="00857250" w:rsidRPr="00EF3146" w:rsidRDefault="002816E3" w:rsidP="00D9199D">
      <w:p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49AB" w:rsidRPr="00EF3146">
        <w:rPr>
          <w:rFonts w:ascii="Times New Roman" w:hAnsi="Times New Roman" w:cs="Times New Roman"/>
          <w:sz w:val="28"/>
          <w:szCs w:val="28"/>
          <w:lang w:val="uk-UA"/>
        </w:rPr>
        <w:t>Інший по</w:t>
      </w:r>
      <w:r w:rsidR="008259B6" w:rsidRPr="00EF3146">
        <w:rPr>
          <w:rFonts w:ascii="Times New Roman" w:hAnsi="Times New Roman" w:cs="Times New Roman"/>
          <w:sz w:val="28"/>
          <w:szCs w:val="28"/>
          <w:lang w:val="uk-UA"/>
        </w:rPr>
        <w:t>казник концентрації підприємств</w:t>
      </w:r>
      <w:r w:rsidR="008149AB"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9B6" w:rsidRPr="00EF314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149AB"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9B6"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діючих одиниць </w:t>
      </w:r>
      <w:r w:rsidR="008149AB"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у розрахунку на 10 км. кв.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площі </w:t>
      </w:r>
      <w:r w:rsidR="008149AB" w:rsidRPr="00EF3146">
        <w:rPr>
          <w:rFonts w:ascii="Times New Roman" w:hAnsi="Times New Roman" w:cs="Times New Roman"/>
          <w:sz w:val="28"/>
          <w:szCs w:val="28"/>
          <w:lang w:val="uk-UA"/>
        </w:rPr>
        <w:t>характеризує часову (дистанційну) доступність платних послуг за природно-економічними зонами</w:t>
      </w:r>
      <w:r w:rsidR="008259B6" w:rsidRPr="00EF3146">
        <w:rPr>
          <w:rFonts w:ascii="Times New Roman" w:hAnsi="Times New Roman" w:cs="Times New Roman"/>
          <w:sz w:val="28"/>
          <w:szCs w:val="28"/>
          <w:lang w:val="uk-UA"/>
        </w:rPr>
        <w:t>. Цей індикатор</w:t>
      </w:r>
      <w:r w:rsidR="008149AB"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 вказує на відставання гірської місцевості за усередненим </w:t>
      </w:r>
      <w:r w:rsidR="008259B6" w:rsidRPr="00EF3146">
        <w:rPr>
          <w:rFonts w:ascii="Times New Roman" w:hAnsi="Times New Roman" w:cs="Times New Roman"/>
          <w:sz w:val="28"/>
          <w:szCs w:val="28"/>
          <w:lang w:val="uk-UA"/>
        </w:rPr>
        <w:t>по регіону показником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становить </w:t>
      </w:r>
      <w:r w:rsidR="008259B6" w:rsidRPr="00EF3146">
        <w:rPr>
          <w:rFonts w:ascii="Times New Roman" w:hAnsi="Times New Roman" w:cs="Times New Roman"/>
          <w:sz w:val="28"/>
          <w:szCs w:val="28"/>
          <w:lang w:val="uk-UA"/>
        </w:rPr>
        <w:t>майже 1 підприємст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259B6"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о на 10 </w:t>
      </w:r>
      <w:proofErr w:type="spellStart"/>
      <w:r w:rsidR="008259B6" w:rsidRPr="00EF3146">
        <w:rPr>
          <w:rFonts w:ascii="Times New Roman" w:hAnsi="Times New Roman" w:cs="Times New Roman"/>
          <w:sz w:val="28"/>
          <w:szCs w:val="28"/>
          <w:lang w:val="uk-UA"/>
        </w:rPr>
        <w:t>км.кв</w:t>
      </w:r>
      <w:proofErr w:type="spellEnd"/>
      <w:r w:rsidR="008259B6" w:rsidRPr="00EF3146">
        <w:rPr>
          <w:rFonts w:ascii="Times New Roman" w:hAnsi="Times New Roman" w:cs="Times New Roman"/>
          <w:sz w:val="28"/>
          <w:szCs w:val="28"/>
          <w:lang w:val="uk-UA"/>
        </w:rPr>
        <w:t>.). Найдоступніши</w:t>
      </w:r>
      <w:r w:rsidR="008149AB"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ми ринкові послуги є у низинній зоні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35C97"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у середньому 2,85 од. на 10 </w:t>
      </w:r>
      <w:proofErr w:type="spellStart"/>
      <w:r w:rsidR="00835C97" w:rsidRPr="00EF3146">
        <w:rPr>
          <w:rFonts w:ascii="Times New Roman" w:hAnsi="Times New Roman" w:cs="Times New Roman"/>
          <w:sz w:val="28"/>
          <w:szCs w:val="28"/>
          <w:lang w:val="uk-UA"/>
        </w:rPr>
        <w:t>км.кв</w:t>
      </w:r>
      <w:proofErr w:type="spellEnd"/>
      <w:r w:rsidR="00835C97" w:rsidRPr="00EF3146">
        <w:rPr>
          <w:rFonts w:ascii="Times New Roman" w:hAnsi="Times New Roman" w:cs="Times New Roman"/>
          <w:sz w:val="28"/>
          <w:szCs w:val="28"/>
          <w:lang w:val="uk-UA"/>
        </w:rPr>
        <w:t>.), найвіддаленішими – у гірській (0,28 од.). Найменша концен</w:t>
      </w:r>
      <w:r>
        <w:rPr>
          <w:rFonts w:ascii="Times New Roman" w:hAnsi="Times New Roman" w:cs="Times New Roman"/>
          <w:sz w:val="28"/>
          <w:szCs w:val="28"/>
          <w:lang w:val="uk-UA"/>
        </w:rPr>
        <w:t>трація підприємств по площі розрахована</w:t>
      </w:r>
      <w:r w:rsidR="00835C97"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 для Хустського району (0,12 од.), враховуючи територіальну близькість м. Хуст із концентрацією понад 51 підприємство на </w:t>
      </w:r>
      <w:proofErr w:type="spellStart"/>
      <w:r w:rsidR="00835C97" w:rsidRPr="00EF3146">
        <w:rPr>
          <w:rFonts w:ascii="Times New Roman" w:hAnsi="Times New Roman" w:cs="Times New Roman"/>
          <w:sz w:val="28"/>
          <w:szCs w:val="28"/>
          <w:lang w:val="uk-UA"/>
        </w:rPr>
        <w:t>км.кв</w:t>
      </w:r>
      <w:proofErr w:type="spellEnd"/>
      <w:r w:rsidR="00835C97"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. У гірській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зоні </w:t>
      </w:r>
      <w:r w:rsidR="00835C97" w:rsidRPr="00EF3146">
        <w:rPr>
          <w:rFonts w:ascii="Times New Roman" w:hAnsi="Times New Roman" w:cs="Times New Roman"/>
          <w:sz w:val="28"/>
          <w:szCs w:val="28"/>
          <w:lang w:val="uk-UA"/>
        </w:rPr>
        <w:t>на 1 підприє</w:t>
      </w:r>
      <w:r w:rsidR="008259B6" w:rsidRPr="00EF314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35C97"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ство у </w:t>
      </w:r>
      <w:proofErr w:type="spellStart"/>
      <w:r w:rsidR="00835C97" w:rsidRPr="00EF3146">
        <w:rPr>
          <w:rFonts w:ascii="Times New Roman" w:hAnsi="Times New Roman" w:cs="Times New Roman"/>
          <w:sz w:val="28"/>
          <w:szCs w:val="28"/>
          <w:lang w:val="uk-UA"/>
        </w:rPr>
        <w:t>Міжгірському</w:t>
      </w:r>
      <w:proofErr w:type="spellEnd"/>
      <w:r w:rsidR="00835C97"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 районі припадає 50 км. кв. території до обслуговування, у Рахівському – 40 км. </w:t>
      </w:r>
    </w:p>
    <w:p w:rsidR="00857250" w:rsidRPr="00EF3146" w:rsidRDefault="00857250" w:rsidP="00D919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Аналіз показників статистичної звітності дозволив виявити ще одну особливість функціонування ринку послуг за природно-економічними зонами: у передгірній зоні у всіх досліджуваних об’єктах споживачами переважної більшості послуг виступали підприємства, у низинній – підприємства або ж порівну підприємства та населення, в той час як у гірській зоні чітко визначилася тенденція </w:t>
      </w:r>
      <w:r w:rsidR="008259B6"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орієнтації підприємств на населення як основного споживача послуг (81% вартості послуг споживалося населенням у </w:t>
      </w:r>
      <w:proofErr w:type="spellStart"/>
      <w:r w:rsidRPr="00EF3146">
        <w:rPr>
          <w:rFonts w:ascii="Times New Roman" w:hAnsi="Times New Roman" w:cs="Times New Roman"/>
          <w:sz w:val="28"/>
          <w:szCs w:val="28"/>
          <w:lang w:val="uk-UA"/>
        </w:rPr>
        <w:t>Перечинському</w:t>
      </w:r>
      <w:proofErr w:type="spellEnd"/>
      <w:r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 районі, 57% у </w:t>
      </w:r>
      <w:proofErr w:type="spellStart"/>
      <w:r w:rsidRPr="00EF3146">
        <w:rPr>
          <w:rFonts w:ascii="Times New Roman" w:hAnsi="Times New Roman" w:cs="Times New Roman"/>
          <w:sz w:val="28"/>
          <w:szCs w:val="28"/>
          <w:lang w:val="uk-UA"/>
        </w:rPr>
        <w:t>Рахівському</w:t>
      </w:r>
      <w:proofErr w:type="spellEnd"/>
      <w:r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, 64% у </w:t>
      </w:r>
      <w:proofErr w:type="spellStart"/>
      <w:r w:rsidRPr="00EF3146">
        <w:rPr>
          <w:rFonts w:ascii="Times New Roman" w:hAnsi="Times New Roman" w:cs="Times New Roman"/>
          <w:sz w:val="28"/>
          <w:szCs w:val="28"/>
          <w:lang w:val="uk-UA"/>
        </w:rPr>
        <w:t>Міжгірському</w:t>
      </w:r>
      <w:proofErr w:type="spellEnd"/>
      <w:r w:rsidRPr="00EF314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0646A" w:rsidRPr="00257A4C" w:rsidRDefault="002816E3" w:rsidP="00257A4C">
      <w:pPr>
        <w:tabs>
          <w:tab w:val="left" w:pos="44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</w:r>
      <w:r w:rsidR="00257A4C" w:rsidRPr="00257A4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Висновки.</w:t>
      </w:r>
      <w:r w:rsidR="00257A4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D609D7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дослідження </w:t>
      </w:r>
      <w:r w:rsidR="00335CDF"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 можна констатувати, що всупереч існуючій тенденції до недостатнього розвитку соціальної інфраструктури</w:t>
      </w:r>
      <w:r w:rsidR="00D609D7">
        <w:rPr>
          <w:rFonts w:ascii="Times New Roman" w:hAnsi="Times New Roman" w:cs="Times New Roman"/>
          <w:sz w:val="28"/>
          <w:szCs w:val="28"/>
          <w:lang w:val="uk-UA"/>
        </w:rPr>
        <w:t xml:space="preserve">, представленої </w:t>
      </w:r>
      <w:r w:rsidR="00335CDF" w:rsidRPr="00EF3146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D609D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35CDF"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 послуг населенню на безкоштовних умовах установами бюджетного фінансування у гірській місцевості, підприємства гірської природно-економічної зони, що надають послуги  на ринкових умовах, суттєво не відстають від аналогічних підприємств низинної та передгірної зон. Це свідчить про активний розвиток сфери платних послуг у сільській місцевості, в тому числі гірській.</w:t>
      </w:r>
      <w:r w:rsidR="00D609D7">
        <w:rPr>
          <w:rFonts w:ascii="Times New Roman" w:hAnsi="Times New Roman" w:cs="Times New Roman"/>
          <w:sz w:val="28"/>
          <w:szCs w:val="28"/>
          <w:lang w:val="uk-UA"/>
        </w:rPr>
        <w:t xml:space="preserve"> У випадку Закарпаття це частково можна пояснити активізацією розвитку туристично-рекреаційного комплексу, що головним чином представлений обслуг</w:t>
      </w:r>
      <w:r>
        <w:rPr>
          <w:rFonts w:ascii="Times New Roman" w:hAnsi="Times New Roman" w:cs="Times New Roman"/>
          <w:sz w:val="28"/>
          <w:szCs w:val="28"/>
          <w:lang w:val="uk-UA"/>
        </w:rPr>
        <w:t>овуючими підприємствами.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5CDF" w:rsidRPr="00EF3146">
        <w:rPr>
          <w:rFonts w:ascii="Times New Roman" w:hAnsi="Times New Roman" w:cs="Times New Roman"/>
          <w:sz w:val="28"/>
          <w:szCs w:val="28"/>
          <w:lang w:val="uk-UA"/>
        </w:rPr>
        <w:t>Концентрація переважної більшості ефективних підприємств сфери послуг у низинній зоні насамперед пояснюється близькістю значних за розмірами міст із високою концентрацією потенційних споживачів та зручними умовами ведення підприємницької діяльності. При цьому основну частину доходу підприємства формують за рахунок обслуговування</w:t>
      </w:r>
      <w:r w:rsidR="00D609D7">
        <w:rPr>
          <w:rFonts w:ascii="Times New Roman" w:hAnsi="Times New Roman" w:cs="Times New Roman"/>
          <w:sz w:val="28"/>
          <w:szCs w:val="28"/>
          <w:lang w:val="uk-UA"/>
        </w:rPr>
        <w:t xml:space="preserve"> інших підприємницьких одиниць, а частка послуг населенню в загальному обсязі незначна.</w:t>
      </w:r>
    </w:p>
    <w:p w:rsidR="00A63BD8" w:rsidRPr="00EF3146" w:rsidRDefault="00A63BD8" w:rsidP="00D609D7">
      <w:pPr>
        <w:tabs>
          <w:tab w:val="left" w:pos="44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14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всіма </w:t>
      </w:r>
      <w:r w:rsidR="00D609D7">
        <w:rPr>
          <w:rFonts w:ascii="Times New Roman" w:hAnsi="Times New Roman" w:cs="Times New Roman"/>
          <w:sz w:val="28"/>
          <w:szCs w:val="28"/>
          <w:lang w:val="uk-UA"/>
        </w:rPr>
        <w:t xml:space="preserve">визначеними </w:t>
      </w:r>
      <w:r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показниками передгірна зона Закарпаття характеризується найгіршим станом </w:t>
      </w:r>
      <w:r w:rsidR="00D609D7">
        <w:rPr>
          <w:rFonts w:ascii="Times New Roman" w:hAnsi="Times New Roman" w:cs="Times New Roman"/>
          <w:sz w:val="28"/>
          <w:szCs w:val="28"/>
          <w:lang w:val="uk-UA"/>
        </w:rPr>
        <w:t xml:space="preserve">функціонування та </w:t>
      </w:r>
      <w:r w:rsidR="002816E3">
        <w:rPr>
          <w:rFonts w:ascii="Times New Roman" w:hAnsi="Times New Roman" w:cs="Times New Roman"/>
          <w:sz w:val="28"/>
          <w:szCs w:val="28"/>
          <w:lang w:val="uk-UA"/>
        </w:rPr>
        <w:t xml:space="preserve">нерівномірним </w:t>
      </w:r>
      <w:r w:rsidR="00D609D7">
        <w:rPr>
          <w:rFonts w:ascii="Times New Roman" w:hAnsi="Times New Roman" w:cs="Times New Roman"/>
          <w:sz w:val="28"/>
          <w:szCs w:val="28"/>
          <w:lang w:val="uk-UA"/>
        </w:rPr>
        <w:t>розміщення</w:t>
      </w:r>
      <w:r w:rsidR="002816E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609D7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 сфери послуг</w:t>
      </w:r>
      <w:r w:rsidRPr="00EF31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3BD8" w:rsidRPr="00EF3146" w:rsidRDefault="00A63BD8" w:rsidP="00EF3146">
      <w:pPr>
        <w:tabs>
          <w:tab w:val="left" w:pos="44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146">
        <w:rPr>
          <w:rFonts w:ascii="Times New Roman" w:hAnsi="Times New Roman" w:cs="Times New Roman"/>
          <w:sz w:val="28"/>
          <w:szCs w:val="28"/>
          <w:lang w:val="uk-UA"/>
        </w:rPr>
        <w:tab/>
        <w:t>В майбутньому</w:t>
      </w:r>
      <w:r w:rsidR="002816E3">
        <w:rPr>
          <w:rFonts w:ascii="Times New Roman" w:hAnsi="Times New Roman" w:cs="Times New Roman"/>
          <w:sz w:val="28"/>
          <w:szCs w:val="28"/>
          <w:lang w:val="uk-UA"/>
        </w:rPr>
        <w:t xml:space="preserve"> вважаємо за доцільне дослідити</w:t>
      </w:r>
      <w:r w:rsidRPr="00EF3146">
        <w:rPr>
          <w:rFonts w:ascii="Times New Roman" w:hAnsi="Times New Roman" w:cs="Times New Roman"/>
          <w:sz w:val="28"/>
          <w:szCs w:val="28"/>
          <w:lang w:val="uk-UA"/>
        </w:rPr>
        <w:t xml:space="preserve"> специфіку розвитку ринку послуг за їх видами в розрізі природно-економічних зон, що дозволить детальніше розкрити вплив природних умов на розвиток різних видів економічної діяльності. </w:t>
      </w:r>
    </w:p>
    <w:p w:rsidR="00D9199D" w:rsidRPr="00A0451E" w:rsidRDefault="00D9199D" w:rsidP="00D9199D">
      <w:pPr>
        <w:tabs>
          <w:tab w:val="left" w:pos="44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451E">
        <w:rPr>
          <w:rFonts w:ascii="Times New Roman" w:hAnsi="Times New Roman" w:cs="Times New Roman"/>
          <w:b/>
          <w:sz w:val="28"/>
          <w:szCs w:val="28"/>
          <w:lang w:val="uk-UA"/>
        </w:rPr>
        <w:t>Бібліографічний список</w:t>
      </w:r>
    </w:p>
    <w:p w:rsidR="00257A4C" w:rsidRPr="00A0451E" w:rsidRDefault="00257A4C" w:rsidP="00257A4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51E">
        <w:rPr>
          <w:rFonts w:ascii="Times New Roman" w:hAnsi="Times New Roman" w:cs="Times New Roman"/>
          <w:sz w:val="28"/>
          <w:szCs w:val="28"/>
          <w:lang w:val="uk-UA"/>
        </w:rPr>
        <w:t>Мельник А. Ф. Організаційно-економічний механізм розвитку територіального комплексу послуг в умовах формування ри</w:t>
      </w:r>
      <w:r w:rsidR="002816E3">
        <w:rPr>
          <w:rFonts w:ascii="Times New Roman" w:hAnsi="Times New Roman" w:cs="Times New Roman"/>
          <w:sz w:val="28"/>
          <w:szCs w:val="28"/>
          <w:lang w:val="uk-UA"/>
        </w:rPr>
        <w:t>нкових відносин</w:t>
      </w:r>
      <w:r w:rsidRPr="00A0451E">
        <w:rPr>
          <w:rFonts w:ascii="Times New Roman" w:hAnsi="Times New Roman" w:cs="Times New Roman"/>
          <w:sz w:val="28"/>
          <w:szCs w:val="28"/>
          <w:lang w:val="uk-UA"/>
        </w:rPr>
        <w:t>: автореф. дис.</w:t>
      </w:r>
      <w:r w:rsidRPr="00A045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451E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A0451E">
        <w:rPr>
          <w:rFonts w:ascii="Times New Roman" w:hAnsi="Times New Roman" w:cs="Times New Roman"/>
          <w:sz w:val="28"/>
          <w:szCs w:val="28"/>
        </w:rPr>
        <w:t xml:space="preserve"> наук</w:t>
      </w:r>
      <w:proofErr w:type="gramStart"/>
      <w:r w:rsidRPr="00A045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04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45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451E">
        <w:rPr>
          <w:rFonts w:ascii="Times New Roman" w:hAnsi="Times New Roman" w:cs="Times New Roman"/>
          <w:sz w:val="28"/>
          <w:szCs w:val="28"/>
        </w:rPr>
        <w:t>тупеня</w:t>
      </w:r>
      <w:proofErr w:type="spellEnd"/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 д-ра </w:t>
      </w:r>
      <w:proofErr w:type="spellStart"/>
      <w:r w:rsidRPr="00A0451E">
        <w:rPr>
          <w:rFonts w:ascii="Times New Roman" w:hAnsi="Times New Roman" w:cs="Times New Roman"/>
          <w:sz w:val="28"/>
          <w:szCs w:val="28"/>
          <w:lang w:val="uk-UA"/>
        </w:rPr>
        <w:t>екон</w:t>
      </w:r>
      <w:proofErr w:type="spellEnd"/>
      <w:r w:rsidRPr="00A0451E">
        <w:rPr>
          <w:rFonts w:ascii="Times New Roman" w:hAnsi="Times New Roman" w:cs="Times New Roman"/>
          <w:sz w:val="28"/>
          <w:szCs w:val="28"/>
          <w:lang w:val="uk-UA"/>
        </w:rPr>
        <w:t>. наук : спец. 08.10.01 «Розміщення продуктивних сил і регіональна економіка» / А. Ф. Мельник. – Львів, 1997. – 43 с.</w:t>
      </w:r>
    </w:p>
    <w:p w:rsidR="00257A4C" w:rsidRPr="00A0451E" w:rsidRDefault="00257A4C" w:rsidP="00257A4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51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Данилишин Б. М. Сфера та ринок послуг у контексті соціальної модифікації суспільства [монографія] / Б. М. Данилишин, В. І. Куценко, Я. В. </w:t>
      </w:r>
      <w:proofErr w:type="spellStart"/>
      <w:r w:rsidRPr="00A0451E">
        <w:rPr>
          <w:rFonts w:ascii="Times New Roman" w:hAnsi="Times New Roman" w:cs="Times New Roman"/>
          <w:sz w:val="28"/>
          <w:szCs w:val="28"/>
          <w:lang w:val="uk-UA"/>
        </w:rPr>
        <w:t>Остафійчук</w:t>
      </w:r>
      <w:proofErr w:type="spellEnd"/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. – К.: РВПС НАН України, 2005. – 328 с. </w:t>
      </w:r>
    </w:p>
    <w:p w:rsidR="00257A4C" w:rsidRPr="00A0451E" w:rsidRDefault="00257A4C" w:rsidP="00257A4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Гаврилюк О. В. Розвиток підприємництва в сфері послуг (на прикладі Чернівецької області) : дис. на здобуття наук. ступеня канд. </w:t>
      </w:r>
      <w:proofErr w:type="spellStart"/>
      <w:r w:rsidRPr="00A0451E">
        <w:rPr>
          <w:rFonts w:ascii="Times New Roman" w:hAnsi="Times New Roman" w:cs="Times New Roman"/>
          <w:sz w:val="28"/>
          <w:szCs w:val="28"/>
          <w:lang w:val="uk-UA"/>
        </w:rPr>
        <w:t>екон</w:t>
      </w:r>
      <w:proofErr w:type="spellEnd"/>
      <w:r w:rsidRPr="00A0451E">
        <w:rPr>
          <w:rFonts w:ascii="Times New Roman" w:hAnsi="Times New Roman" w:cs="Times New Roman"/>
          <w:sz w:val="28"/>
          <w:szCs w:val="28"/>
          <w:lang w:val="uk-UA"/>
        </w:rPr>
        <w:t>. наук : спец. 08.06.02 «</w:t>
      </w:r>
      <w:r w:rsidRPr="00A0451E">
        <w:rPr>
          <w:rFonts w:ascii="Times New Roman" w:hAnsi="Times New Roman" w:cs="Times New Roman"/>
          <w:snapToGrid w:val="0"/>
          <w:sz w:val="28"/>
          <w:szCs w:val="28"/>
          <w:lang w:val="uk-UA"/>
        </w:rPr>
        <w:t>Підприємництво, менеджмент та маркетинг»</w:t>
      </w:r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 / О. В. Гаврилюк. – Чернівці, 2001. – 236 с. </w:t>
      </w:r>
    </w:p>
    <w:p w:rsidR="00257A4C" w:rsidRPr="00A0451E" w:rsidRDefault="00257A4C" w:rsidP="00257A4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51E">
        <w:rPr>
          <w:rFonts w:ascii="Times New Roman" w:hAnsi="Times New Roman" w:cs="Times New Roman"/>
          <w:sz w:val="28"/>
          <w:szCs w:val="28"/>
          <w:lang w:val="uk-UA"/>
        </w:rPr>
        <w:t>Горьовий В. П. Сфера побутового обслуговування сільського населення України в умовах ринкової економіки / В. П. Горьовий // Економіка АПК. – 2007. – № 4.  – С. 133-139.</w:t>
      </w:r>
    </w:p>
    <w:p w:rsidR="00257A4C" w:rsidRPr="00A0451E" w:rsidRDefault="00257A4C" w:rsidP="00257A4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451E">
        <w:rPr>
          <w:rFonts w:ascii="Times New Roman" w:hAnsi="Times New Roman" w:cs="Times New Roman"/>
          <w:sz w:val="28"/>
          <w:szCs w:val="28"/>
          <w:lang w:val="uk-UA"/>
        </w:rPr>
        <w:t>Лук’янченко</w:t>
      </w:r>
      <w:proofErr w:type="spellEnd"/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 О. Розвиток сфери послуг у міському середовищі / </w:t>
      </w:r>
      <w:r w:rsidRPr="00A0451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A0451E">
        <w:rPr>
          <w:rFonts w:ascii="Times New Roman" w:hAnsi="Times New Roman" w:cs="Times New Roman"/>
          <w:sz w:val="28"/>
          <w:szCs w:val="28"/>
          <w:lang w:val="uk-UA"/>
        </w:rPr>
        <w:t>Лук’янченко</w:t>
      </w:r>
      <w:proofErr w:type="spellEnd"/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, В. </w:t>
      </w:r>
      <w:proofErr w:type="spellStart"/>
      <w:r w:rsidRPr="00A0451E">
        <w:rPr>
          <w:rFonts w:ascii="Times New Roman" w:hAnsi="Times New Roman" w:cs="Times New Roman"/>
          <w:sz w:val="28"/>
          <w:szCs w:val="28"/>
          <w:lang w:val="uk-UA"/>
        </w:rPr>
        <w:t>Кавиршина</w:t>
      </w:r>
      <w:proofErr w:type="spellEnd"/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 // Регіон</w:t>
      </w:r>
      <w:proofErr w:type="spellStart"/>
      <w:r w:rsidRPr="00A0451E">
        <w:rPr>
          <w:rFonts w:ascii="Times New Roman" w:hAnsi="Times New Roman" w:cs="Times New Roman"/>
          <w:sz w:val="28"/>
          <w:szCs w:val="28"/>
        </w:rPr>
        <w:t>альна</w:t>
      </w:r>
      <w:proofErr w:type="spellEnd"/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 економіка. – 2006. – № 4. –        С. 111-117.</w:t>
      </w:r>
    </w:p>
    <w:p w:rsidR="00A0451E" w:rsidRPr="00A0451E" w:rsidRDefault="00257A4C" w:rsidP="00A0451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451E">
        <w:rPr>
          <w:rFonts w:ascii="Times New Roman" w:hAnsi="Times New Roman" w:cs="Times New Roman"/>
          <w:sz w:val="28"/>
          <w:szCs w:val="28"/>
        </w:rPr>
        <w:t>Брензови</w:t>
      </w:r>
      <w:r w:rsidR="00A0451E" w:rsidRPr="00A0451E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A0451E" w:rsidRPr="00A0451E">
        <w:rPr>
          <w:rFonts w:ascii="Times New Roman" w:hAnsi="Times New Roman" w:cs="Times New Roman"/>
          <w:sz w:val="28"/>
          <w:szCs w:val="28"/>
        </w:rPr>
        <w:t xml:space="preserve"> К.С. </w:t>
      </w:r>
      <w:proofErr w:type="spellStart"/>
      <w:r w:rsidR="00A0451E" w:rsidRPr="00A0451E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A0451E" w:rsidRPr="00A04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51E" w:rsidRPr="00A0451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A0451E" w:rsidRPr="00A04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51E" w:rsidRPr="00A0451E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="00A0451E" w:rsidRPr="00A0451E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A0451E">
        <w:rPr>
          <w:rFonts w:ascii="Times New Roman" w:hAnsi="Times New Roman" w:cs="Times New Roman"/>
          <w:sz w:val="28"/>
          <w:szCs w:val="28"/>
        </w:rPr>
        <w:t>онального</w:t>
      </w:r>
      <w:proofErr w:type="spellEnd"/>
      <w:r w:rsidRPr="00A0451E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A0451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A0451E" w:rsidRPr="00A0451E">
        <w:rPr>
          <w:rFonts w:ascii="Times New Roman" w:hAnsi="Times New Roman" w:cs="Times New Roman"/>
          <w:sz w:val="28"/>
          <w:szCs w:val="28"/>
          <w:lang w:val="uk-UA"/>
        </w:rPr>
        <w:t>: дис. на здобуття наук</w:t>
      </w:r>
      <w:proofErr w:type="gramStart"/>
      <w:r w:rsidR="00A0451E" w:rsidRPr="00A0451E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A0451E"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A0451E" w:rsidRPr="00A0451E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 w:rsidR="00A0451E"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тупеня канд. </w:t>
      </w:r>
      <w:proofErr w:type="spellStart"/>
      <w:r w:rsidR="00A0451E" w:rsidRPr="00A0451E">
        <w:rPr>
          <w:rFonts w:ascii="Times New Roman" w:hAnsi="Times New Roman" w:cs="Times New Roman"/>
          <w:sz w:val="28"/>
          <w:szCs w:val="28"/>
          <w:lang w:val="uk-UA"/>
        </w:rPr>
        <w:t>екон</w:t>
      </w:r>
      <w:proofErr w:type="spellEnd"/>
      <w:r w:rsidR="00A0451E" w:rsidRPr="00A0451E">
        <w:rPr>
          <w:rFonts w:ascii="Times New Roman" w:hAnsi="Times New Roman" w:cs="Times New Roman"/>
          <w:sz w:val="28"/>
          <w:szCs w:val="28"/>
          <w:lang w:val="uk-UA"/>
        </w:rPr>
        <w:t>. наук : спец. 08.00.00 «</w:t>
      </w:r>
      <w:r w:rsidR="00A0451E" w:rsidRPr="00A0451E">
        <w:rPr>
          <w:rFonts w:ascii="Times New Roman" w:hAnsi="Times New Roman" w:cs="Times New Roman"/>
          <w:snapToGrid w:val="0"/>
          <w:sz w:val="28"/>
          <w:szCs w:val="28"/>
          <w:lang w:val="uk-UA"/>
        </w:rPr>
        <w:t>Розвиток продуктивних сил і регіональна економіка» / К.С.</w:t>
      </w:r>
      <w:proofErr w:type="spellStart"/>
      <w:r w:rsidR="00A0451E" w:rsidRPr="00A0451E">
        <w:rPr>
          <w:rFonts w:ascii="Times New Roman" w:hAnsi="Times New Roman" w:cs="Times New Roman"/>
          <w:snapToGrid w:val="0"/>
          <w:sz w:val="28"/>
          <w:szCs w:val="28"/>
          <w:lang w:val="uk-UA"/>
        </w:rPr>
        <w:t>Брензович</w:t>
      </w:r>
      <w:proofErr w:type="spellEnd"/>
      <w:r w:rsidR="00A0451E" w:rsidRPr="00A0451E">
        <w:rPr>
          <w:rFonts w:ascii="Times New Roman" w:hAnsi="Times New Roman" w:cs="Times New Roman"/>
          <w:snapToGrid w:val="0"/>
          <w:sz w:val="28"/>
          <w:szCs w:val="28"/>
          <w:lang w:val="uk-UA"/>
        </w:rPr>
        <w:t>. – Ужгород, 2010. – 202 с.</w:t>
      </w:r>
    </w:p>
    <w:p w:rsidR="00A63BD8" w:rsidRPr="00A0451E" w:rsidRDefault="00D7451A" w:rsidP="00EF31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51E">
        <w:rPr>
          <w:rFonts w:ascii="Times New Roman" w:hAnsi="Times New Roman" w:cs="Times New Roman"/>
          <w:sz w:val="28"/>
          <w:szCs w:val="28"/>
          <w:lang w:val="uk-UA"/>
        </w:rPr>
        <w:t>Розвиток сфери послуг в Закарпатській області за 2011 рік</w:t>
      </w:r>
      <w:r w:rsidR="00A0451E"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0451E" w:rsidRPr="00A0451E">
        <w:rPr>
          <w:rFonts w:ascii="Times New Roman" w:hAnsi="Times New Roman" w:cs="Times New Roman"/>
          <w:sz w:val="28"/>
          <w:szCs w:val="28"/>
        </w:rPr>
        <w:t>[</w:t>
      </w:r>
      <w:r w:rsidR="00A0451E" w:rsidRPr="00A0451E">
        <w:rPr>
          <w:rFonts w:ascii="Times New Roman" w:hAnsi="Times New Roman" w:cs="Times New Roman"/>
          <w:sz w:val="28"/>
          <w:szCs w:val="28"/>
          <w:lang w:val="uk-UA"/>
        </w:rPr>
        <w:t>стат. бюлетень</w:t>
      </w:r>
      <w:r w:rsidR="00A0451E" w:rsidRPr="00A0451E">
        <w:rPr>
          <w:rFonts w:ascii="Times New Roman" w:hAnsi="Times New Roman" w:cs="Times New Roman"/>
          <w:sz w:val="28"/>
          <w:szCs w:val="28"/>
        </w:rPr>
        <w:t>].</w:t>
      </w:r>
      <w:r w:rsidR="00A0451E"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 / Гол</w:t>
      </w:r>
      <w:r w:rsidR="00A0451E" w:rsidRPr="00A0451E">
        <w:rPr>
          <w:rFonts w:ascii="Times New Roman" w:hAnsi="Times New Roman" w:cs="Times New Roman"/>
          <w:sz w:val="28"/>
          <w:szCs w:val="28"/>
        </w:rPr>
        <w:t>овне</w:t>
      </w:r>
      <w:r w:rsidR="00A0451E"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статистики у Закарпатській області. – Ужгород, 2012. - </w:t>
      </w:r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20 с. </w:t>
      </w:r>
    </w:p>
    <w:p w:rsidR="00A0451E" w:rsidRPr="00A0451E" w:rsidRDefault="00D7451A" w:rsidP="00A0451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51E">
        <w:rPr>
          <w:rFonts w:ascii="Times New Roman" w:hAnsi="Times New Roman" w:cs="Times New Roman"/>
          <w:sz w:val="28"/>
          <w:szCs w:val="28"/>
          <w:lang w:val="uk-UA"/>
        </w:rPr>
        <w:t>Аналіз сфери послуг в обласному центрі</w:t>
      </w:r>
      <w:r w:rsidR="00A0451E"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0451E" w:rsidRPr="00A0451E">
        <w:rPr>
          <w:rFonts w:ascii="Times New Roman" w:hAnsi="Times New Roman" w:cs="Times New Roman"/>
          <w:sz w:val="28"/>
          <w:szCs w:val="28"/>
        </w:rPr>
        <w:t>[</w:t>
      </w:r>
      <w:r w:rsidR="00A0451E" w:rsidRPr="00A0451E">
        <w:rPr>
          <w:rFonts w:ascii="Times New Roman" w:hAnsi="Times New Roman" w:cs="Times New Roman"/>
          <w:sz w:val="28"/>
          <w:szCs w:val="28"/>
          <w:lang w:val="uk-UA"/>
        </w:rPr>
        <w:t>стат. бюлетень</w:t>
      </w:r>
      <w:r w:rsidR="00A0451E" w:rsidRPr="00A0451E">
        <w:rPr>
          <w:rFonts w:ascii="Times New Roman" w:hAnsi="Times New Roman" w:cs="Times New Roman"/>
          <w:sz w:val="28"/>
          <w:szCs w:val="28"/>
        </w:rPr>
        <w:t>].</w:t>
      </w:r>
      <w:r w:rsidR="00A0451E"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 / Гол</w:t>
      </w:r>
      <w:r w:rsidR="00A0451E" w:rsidRPr="00A0451E">
        <w:rPr>
          <w:rFonts w:ascii="Times New Roman" w:hAnsi="Times New Roman" w:cs="Times New Roman"/>
          <w:sz w:val="28"/>
          <w:szCs w:val="28"/>
        </w:rPr>
        <w:t>овне</w:t>
      </w:r>
      <w:r w:rsidR="00A0451E"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статистики у Закарпатській області. – Ужгород, 2012. - 19 с. </w:t>
      </w:r>
    </w:p>
    <w:p w:rsidR="00A0451E" w:rsidRDefault="00A0451E" w:rsidP="00EF3146">
      <w:pPr>
        <w:tabs>
          <w:tab w:val="left" w:pos="44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CDF" w:rsidRDefault="00D609D7" w:rsidP="002816E3">
      <w:pPr>
        <w:tabs>
          <w:tab w:val="left" w:pos="44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Анотація</w:t>
      </w:r>
    </w:p>
    <w:p w:rsidR="00A0451E" w:rsidRDefault="00A0451E" w:rsidP="002816E3">
      <w:pPr>
        <w:tabs>
          <w:tab w:val="left" w:pos="44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609D7">
        <w:rPr>
          <w:rFonts w:ascii="Times New Roman" w:hAnsi="Times New Roman" w:cs="Times New Roman"/>
          <w:sz w:val="28"/>
          <w:szCs w:val="28"/>
          <w:lang w:val="uk-UA"/>
        </w:rPr>
        <w:t xml:space="preserve">У статті поглиблено дослідження локальних аспектів розвитку ринку послуг на прикладі Закарпатської області. Вперше визначено особливості розміщення обслуговуючих підприємств за показниками концентрації в розрізі низинної, передгірної та гірської природно-економічних зон регіону. Обґрунтовано вплив близькості міст обласного підпорядкування на розміщення та ефективність </w:t>
      </w:r>
      <w:r w:rsidR="00D609D7">
        <w:rPr>
          <w:rFonts w:ascii="Times New Roman" w:hAnsi="Times New Roman" w:cs="Times New Roman"/>
          <w:sz w:val="28"/>
          <w:szCs w:val="28"/>
          <w:lang w:val="uk-UA"/>
        </w:rPr>
        <w:lastRenderedPageBreak/>
        <w:t>функціонування підприємств ринку послуг, розміщених у різних природно-економічних зонах.</w:t>
      </w:r>
    </w:p>
    <w:p w:rsidR="00A0451E" w:rsidRDefault="00D609D7" w:rsidP="002816E3">
      <w:pPr>
        <w:tabs>
          <w:tab w:val="left" w:pos="44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Ключові слова: </w:t>
      </w:r>
      <w:r w:rsidR="006468FC">
        <w:rPr>
          <w:rFonts w:ascii="Times New Roman" w:hAnsi="Times New Roman" w:cs="Times New Roman"/>
          <w:sz w:val="28"/>
          <w:szCs w:val="28"/>
          <w:lang w:val="uk-UA"/>
        </w:rPr>
        <w:t xml:space="preserve">регіон, </w:t>
      </w:r>
      <w:r>
        <w:rPr>
          <w:rFonts w:ascii="Times New Roman" w:hAnsi="Times New Roman" w:cs="Times New Roman"/>
          <w:sz w:val="28"/>
          <w:szCs w:val="28"/>
          <w:lang w:val="uk-UA"/>
        </w:rPr>
        <w:t>ринок послуг, природно-економічна зона, концентрація</w:t>
      </w:r>
      <w:r w:rsidR="006468FC">
        <w:rPr>
          <w:rFonts w:ascii="Times New Roman" w:hAnsi="Times New Roman" w:cs="Times New Roman"/>
          <w:sz w:val="28"/>
          <w:szCs w:val="28"/>
          <w:lang w:val="uk-UA"/>
        </w:rPr>
        <w:t xml:space="preserve">, обслуговування. </w:t>
      </w:r>
    </w:p>
    <w:p w:rsidR="00A0451E" w:rsidRDefault="00A0451E" w:rsidP="002816E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451E" w:rsidRPr="00A0451E" w:rsidRDefault="00A0451E" w:rsidP="002816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0451E">
        <w:rPr>
          <w:rFonts w:ascii="Times New Roman" w:hAnsi="Times New Roman" w:cs="Times New Roman"/>
          <w:sz w:val="28"/>
          <w:szCs w:val="28"/>
          <w:lang w:val="uk-UA"/>
        </w:rPr>
        <w:t>ннотация</w:t>
      </w:r>
      <w:proofErr w:type="spellEnd"/>
    </w:p>
    <w:p w:rsidR="00A0451E" w:rsidRPr="00A0451E" w:rsidRDefault="00A0451E" w:rsidP="002816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A0451E">
        <w:rPr>
          <w:rFonts w:ascii="Times New Roman" w:hAnsi="Times New Roman" w:cs="Times New Roman"/>
          <w:sz w:val="28"/>
          <w:szCs w:val="28"/>
          <w:lang w:val="uk-UA"/>
        </w:rPr>
        <w:t>статье</w:t>
      </w:r>
      <w:proofErr w:type="spellEnd"/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451E">
        <w:rPr>
          <w:rFonts w:ascii="Times New Roman" w:hAnsi="Times New Roman" w:cs="Times New Roman"/>
          <w:sz w:val="28"/>
          <w:szCs w:val="28"/>
          <w:lang w:val="uk-UA"/>
        </w:rPr>
        <w:t>углубленно</w:t>
      </w:r>
      <w:proofErr w:type="spellEnd"/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451E">
        <w:rPr>
          <w:rFonts w:ascii="Times New Roman" w:hAnsi="Times New Roman" w:cs="Times New Roman"/>
          <w:sz w:val="28"/>
          <w:szCs w:val="28"/>
          <w:lang w:val="uk-UA"/>
        </w:rPr>
        <w:t>исследования</w:t>
      </w:r>
      <w:proofErr w:type="spellEnd"/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451E">
        <w:rPr>
          <w:rFonts w:ascii="Times New Roman" w:hAnsi="Times New Roman" w:cs="Times New Roman"/>
          <w:sz w:val="28"/>
          <w:szCs w:val="28"/>
          <w:lang w:val="uk-UA"/>
        </w:rPr>
        <w:t>локальных</w:t>
      </w:r>
      <w:proofErr w:type="spellEnd"/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451E">
        <w:rPr>
          <w:rFonts w:ascii="Times New Roman" w:hAnsi="Times New Roman" w:cs="Times New Roman"/>
          <w:sz w:val="28"/>
          <w:szCs w:val="28"/>
          <w:lang w:val="uk-UA"/>
        </w:rPr>
        <w:t>аспектов</w:t>
      </w:r>
      <w:proofErr w:type="spellEnd"/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451E">
        <w:rPr>
          <w:rFonts w:ascii="Times New Roman" w:hAnsi="Times New Roman" w:cs="Times New Roman"/>
          <w:sz w:val="28"/>
          <w:szCs w:val="28"/>
          <w:lang w:val="uk-UA"/>
        </w:rPr>
        <w:t>развития</w:t>
      </w:r>
      <w:proofErr w:type="spellEnd"/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451E">
        <w:rPr>
          <w:rFonts w:ascii="Times New Roman" w:hAnsi="Times New Roman" w:cs="Times New Roman"/>
          <w:sz w:val="28"/>
          <w:szCs w:val="28"/>
          <w:lang w:val="uk-UA"/>
        </w:rPr>
        <w:t>рынка</w:t>
      </w:r>
      <w:proofErr w:type="spellEnd"/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 услуг на </w:t>
      </w:r>
      <w:proofErr w:type="spellStart"/>
      <w:r w:rsidRPr="00A0451E">
        <w:rPr>
          <w:rFonts w:ascii="Times New Roman" w:hAnsi="Times New Roman" w:cs="Times New Roman"/>
          <w:sz w:val="28"/>
          <w:szCs w:val="28"/>
          <w:lang w:val="uk-UA"/>
        </w:rPr>
        <w:t>примере</w:t>
      </w:r>
      <w:proofErr w:type="spellEnd"/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451E">
        <w:rPr>
          <w:rFonts w:ascii="Times New Roman" w:hAnsi="Times New Roman" w:cs="Times New Roman"/>
          <w:sz w:val="28"/>
          <w:szCs w:val="28"/>
          <w:lang w:val="uk-UA"/>
        </w:rPr>
        <w:t>Закарпатской</w:t>
      </w:r>
      <w:proofErr w:type="spellEnd"/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451E">
        <w:rPr>
          <w:rFonts w:ascii="Times New Roman" w:hAnsi="Times New Roman" w:cs="Times New Roman"/>
          <w:sz w:val="28"/>
          <w:szCs w:val="28"/>
          <w:lang w:val="uk-UA"/>
        </w:rPr>
        <w:t>области</w:t>
      </w:r>
      <w:proofErr w:type="spellEnd"/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0451E">
        <w:rPr>
          <w:rFonts w:ascii="Times New Roman" w:hAnsi="Times New Roman" w:cs="Times New Roman"/>
          <w:sz w:val="28"/>
          <w:szCs w:val="28"/>
          <w:lang w:val="uk-UA"/>
        </w:rPr>
        <w:t>Впервые</w:t>
      </w:r>
      <w:proofErr w:type="spellEnd"/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451E">
        <w:rPr>
          <w:rFonts w:ascii="Times New Roman" w:hAnsi="Times New Roman" w:cs="Times New Roman"/>
          <w:sz w:val="28"/>
          <w:szCs w:val="28"/>
          <w:lang w:val="uk-UA"/>
        </w:rPr>
        <w:t>определены</w:t>
      </w:r>
      <w:proofErr w:type="spellEnd"/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451E">
        <w:rPr>
          <w:rFonts w:ascii="Times New Roman" w:hAnsi="Times New Roman" w:cs="Times New Roman"/>
          <w:sz w:val="28"/>
          <w:szCs w:val="28"/>
          <w:lang w:val="uk-UA"/>
        </w:rPr>
        <w:t>особенности</w:t>
      </w:r>
      <w:proofErr w:type="spellEnd"/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451E">
        <w:rPr>
          <w:rFonts w:ascii="Times New Roman" w:hAnsi="Times New Roman" w:cs="Times New Roman"/>
          <w:sz w:val="28"/>
          <w:szCs w:val="28"/>
          <w:lang w:val="uk-UA"/>
        </w:rPr>
        <w:t>размещения</w:t>
      </w:r>
      <w:proofErr w:type="spellEnd"/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451E">
        <w:rPr>
          <w:rFonts w:ascii="Times New Roman" w:hAnsi="Times New Roman" w:cs="Times New Roman"/>
          <w:sz w:val="28"/>
          <w:szCs w:val="28"/>
          <w:lang w:val="uk-UA"/>
        </w:rPr>
        <w:t>обслуживающих</w:t>
      </w:r>
      <w:proofErr w:type="spellEnd"/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451E">
        <w:rPr>
          <w:rFonts w:ascii="Times New Roman" w:hAnsi="Times New Roman" w:cs="Times New Roman"/>
          <w:sz w:val="28"/>
          <w:szCs w:val="28"/>
          <w:lang w:val="uk-UA"/>
        </w:rPr>
        <w:t>предприятий</w:t>
      </w:r>
      <w:proofErr w:type="spellEnd"/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A0451E">
        <w:rPr>
          <w:rFonts w:ascii="Times New Roman" w:hAnsi="Times New Roman" w:cs="Times New Roman"/>
          <w:sz w:val="28"/>
          <w:szCs w:val="28"/>
          <w:lang w:val="uk-UA"/>
        </w:rPr>
        <w:t>показателям</w:t>
      </w:r>
      <w:proofErr w:type="spellEnd"/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451E">
        <w:rPr>
          <w:rFonts w:ascii="Times New Roman" w:hAnsi="Times New Roman" w:cs="Times New Roman"/>
          <w:sz w:val="28"/>
          <w:szCs w:val="28"/>
          <w:lang w:val="uk-UA"/>
        </w:rPr>
        <w:t>концентрации</w:t>
      </w:r>
      <w:proofErr w:type="spellEnd"/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0451E">
        <w:rPr>
          <w:rFonts w:ascii="Times New Roman" w:hAnsi="Times New Roman" w:cs="Times New Roman"/>
          <w:sz w:val="28"/>
          <w:szCs w:val="28"/>
          <w:lang w:val="uk-UA"/>
        </w:rPr>
        <w:t>разрезе</w:t>
      </w:r>
      <w:proofErr w:type="spellEnd"/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451E">
        <w:rPr>
          <w:rFonts w:ascii="Times New Roman" w:hAnsi="Times New Roman" w:cs="Times New Roman"/>
          <w:sz w:val="28"/>
          <w:szCs w:val="28"/>
          <w:lang w:val="uk-UA"/>
        </w:rPr>
        <w:t>низменной</w:t>
      </w:r>
      <w:proofErr w:type="spellEnd"/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0451E">
        <w:rPr>
          <w:rFonts w:ascii="Times New Roman" w:hAnsi="Times New Roman" w:cs="Times New Roman"/>
          <w:sz w:val="28"/>
          <w:szCs w:val="28"/>
          <w:lang w:val="uk-UA"/>
        </w:rPr>
        <w:t>предгорной</w:t>
      </w:r>
      <w:proofErr w:type="spellEnd"/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0451E">
        <w:rPr>
          <w:rFonts w:ascii="Times New Roman" w:hAnsi="Times New Roman" w:cs="Times New Roman"/>
          <w:sz w:val="28"/>
          <w:szCs w:val="28"/>
          <w:lang w:val="uk-UA"/>
        </w:rPr>
        <w:t>горной</w:t>
      </w:r>
      <w:proofErr w:type="spellEnd"/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451E">
        <w:rPr>
          <w:rFonts w:ascii="Times New Roman" w:hAnsi="Times New Roman" w:cs="Times New Roman"/>
          <w:sz w:val="28"/>
          <w:szCs w:val="28"/>
          <w:lang w:val="uk-UA"/>
        </w:rPr>
        <w:t>природно-экономических</w:t>
      </w:r>
      <w:proofErr w:type="spellEnd"/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 зон </w:t>
      </w:r>
      <w:proofErr w:type="spellStart"/>
      <w:r w:rsidRPr="00A0451E">
        <w:rPr>
          <w:rFonts w:ascii="Times New Roman" w:hAnsi="Times New Roman" w:cs="Times New Roman"/>
          <w:sz w:val="28"/>
          <w:szCs w:val="28"/>
          <w:lang w:val="uk-UA"/>
        </w:rPr>
        <w:t>региона</w:t>
      </w:r>
      <w:proofErr w:type="spellEnd"/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0451E">
        <w:rPr>
          <w:rFonts w:ascii="Times New Roman" w:hAnsi="Times New Roman" w:cs="Times New Roman"/>
          <w:sz w:val="28"/>
          <w:szCs w:val="28"/>
          <w:lang w:val="uk-UA"/>
        </w:rPr>
        <w:t>Обосновано</w:t>
      </w:r>
      <w:proofErr w:type="spellEnd"/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451E">
        <w:rPr>
          <w:rFonts w:ascii="Times New Roman" w:hAnsi="Times New Roman" w:cs="Times New Roman"/>
          <w:sz w:val="28"/>
          <w:szCs w:val="28"/>
          <w:lang w:val="uk-UA"/>
        </w:rPr>
        <w:t>влияние</w:t>
      </w:r>
      <w:proofErr w:type="spellEnd"/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451E">
        <w:rPr>
          <w:rFonts w:ascii="Times New Roman" w:hAnsi="Times New Roman" w:cs="Times New Roman"/>
          <w:sz w:val="28"/>
          <w:szCs w:val="28"/>
          <w:lang w:val="uk-UA"/>
        </w:rPr>
        <w:t>близости</w:t>
      </w:r>
      <w:proofErr w:type="spellEnd"/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451E">
        <w:rPr>
          <w:rFonts w:ascii="Times New Roman" w:hAnsi="Times New Roman" w:cs="Times New Roman"/>
          <w:sz w:val="28"/>
          <w:szCs w:val="28"/>
          <w:lang w:val="uk-UA"/>
        </w:rPr>
        <w:t>городов</w:t>
      </w:r>
      <w:proofErr w:type="spellEnd"/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451E">
        <w:rPr>
          <w:rFonts w:ascii="Times New Roman" w:hAnsi="Times New Roman" w:cs="Times New Roman"/>
          <w:sz w:val="28"/>
          <w:szCs w:val="28"/>
          <w:lang w:val="uk-UA"/>
        </w:rPr>
        <w:t>областного</w:t>
      </w:r>
      <w:proofErr w:type="spellEnd"/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451E">
        <w:rPr>
          <w:rFonts w:ascii="Times New Roman" w:hAnsi="Times New Roman" w:cs="Times New Roman"/>
          <w:sz w:val="28"/>
          <w:szCs w:val="28"/>
          <w:lang w:val="uk-UA"/>
        </w:rPr>
        <w:t>подчинения</w:t>
      </w:r>
      <w:proofErr w:type="spellEnd"/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A0451E">
        <w:rPr>
          <w:rFonts w:ascii="Times New Roman" w:hAnsi="Times New Roman" w:cs="Times New Roman"/>
          <w:sz w:val="28"/>
          <w:szCs w:val="28"/>
          <w:lang w:val="uk-UA"/>
        </w:rPr>
        <w:t>размещение</w:t>
      </w:r>
      <w:proofErr w:type="spellEnd"/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0451E">
        <w:rPr>
          <w:rFonts w:ascii="Times New Roman" w:hAnsi="Times New Roman" w:cs="Times New Roman"/>
          <w:sz w:val="28"/>
          <w:szCs w:val="28"/>
          <w:lang w:val="uk-UA"/>
        </w:rPr>
        <w:t>эффективность</w:t>
      </w:r>
      <w:proofErr w:type="spellEnd"/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451E">
        <w:rPr>
          <w:rFonts w:ascii="Times New Roman" w:hAnsi="Times New Roman" w:cs="Times New Roman"/>
          <w:sz w:val="28"/>
          <w:szCs w:val="28"/>
          <w:lang w:val="uk-UA"/>
        </w:rPr>
        <w:t>функционирования</w:t>
      </w:r>
      <w:proofErr w:type="spellEnd"/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451E">
        <w:rPr>
          <w:rFonts w:ascii="Times New Roman" w:hAnsi="Times New Roman" w:cs="Times New Roman"/>
          <w:sz w:val="28"/>
          <w:szCs w:val="28"/>
          <w:lang w:val="uk-UA"/>
        </w:rPr>
        <w:t>предприятий</w:t>
      </w:r>
      <w:proofErr w:type="spellEnd"/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451E">
        <w:rPr>
          <w:rFonts w:ascii="Times New Roman" w:hAnsi="Times New Roman" w:cs="Times New Roman"/>
          <w:sz w:val="28"/>
          <w:szCs w:val="28"/>
          <w:lang w:val="uk-UA"/>
        </w:rPr>
        <w:t>рынка</w:t>
      </w:r>
      <w:proofErr w:type="spellEnd"/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 услуг, </w:t>
      </w:r>
      <w:proofErr w:type="spellStart"/>
      <w:r w:rsidRPr="00A0451E">
        <w:rPr>
          <w:rFonts w:ascii="Times New Roman" w:hAnsi="Times New Roman" w:cs="Times New Roman"/>
          <w:sz w:val="28"/>
          <w:szCs w:val="28"/>
          <w:lang w:val="uk-UA"/>
        </w:rPr>
        <w:t>расположенных</w:t>
      </w:r>
      <w:proofErr w:type="spellEnd"/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0451E">
        <w:rPr>
          <w:rFonts w:ascii="Times New Roman" w:hAnsi="Times New Roman" w:cs="Times New Roman"/>
          <w:sz w:val="28"/>
          <w:szCs w:val="28"/>
          <w:lang w:val="uk-UA"/>
        </w:rPr>
        <w:t>различных</w:t>
      </w:r>
      <w:proofErr w:type="spellEnd"/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451E">
        <w:rPr>
          <w:rFonts w:ascii="Times New Roman" w:hAnsi="Times New Roman" w:cs="Times New Roman"/>
          <w:sz w:val="28"/>
          <w:szCs w:val="28"/>
          <w:lang w:val="uk-UA"/>
        </w:rPr>
        <w:t>природно-экономических</w:t>
      </w:r>
      <w:proofErr w:type="spellEnd"/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 зонах.</w:t>
      </w:r>
    </w:p>
    <w:p w:rsidR="00A0451E" w:rsidRDefault="00A0451E" w:rsidP="002816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451E">
        <w:rPr>
          <w:rFonts w:ascii="Times New Roman" w:hAnsi="Times New Roman" w:cs="Times New Roman"/>
          <w:sz w:val="28"/>
          <w:szCs w:val="28"/>
          <w:lang w:val="uk-UA"/>
        </w:rPr>
        <w:t>Ключевые</w:t>
      </w:r>
      <w:proofErr w:type="spellEnd"/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 слова: </w:t>
      </w:r>
      <w:proofErr w:type="spellStart"/>
      <w:r w:rsidRPr="00A0451E">
        <w:rPr>
          <w:rFonts w:ascii="Times New Roman" w:hAnsi="Times New Roman" w:cs="Times New Roman"/>
          <w:sz w:val="28"/>
          <w:szCs w:val="28"/>
          <w:lang w:val="uk-UA"/>
        </w:rPr>
        <w:t>регион</w:t>
      </w:r>
      <w:proofErr w:type="spellEnd"/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0451E">
        <w:rPr>
          <w:rFonts w:ascii="Times New Roman" w:hAnsi="Times New Roman" w:cs="Times New Roman"/>
          <w:sz w:val="28"/>
          <w:szCs w:val="28"/>
          <w:lang w:val="uk-UA"/>
        </w:rPr>
        <w:t>рынок</w:t>
      </w:r>
      <w:proofErr w:type="spellEnd"/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 услуг, </w:t>
      </w:r>
      <w:proofErr w:type="spellStart"/>
      <w:r w:rsidRPr="00A0451E">
        <w:rPr>
          <w:rFonts w:ascii="Times New Roman" w:hAnsi="Times New Roman" w:cs="Times New Roman"/>
          <w:sz w:val="28"/>
          <w:szCs w:val="28"/>
          <w:lang w:val="uk-UA"/>
        </w:rPr>
        <w:t>природно-экономическая</w:t>
      </w:r>
      <w:proofErr w:type="spellEnd"/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 зона, </w:t>
      </w:r>
      <w:proofErr w:type="spellStart"/>
      <w:r w:rsidRPr="00A0451E">
        <w:rPr>
          <w:rFonts w:ascii="Times New Roman" w:hAnsi="Times New Roman" w:cs="Times New Roman"/>
          <w:sz w:val="28"/>
          <w:szCs w:val="28"/>
          <w:lang w:val="uk-UA"/>
        </w:rPr>
        <w:t>концентрация</w:t>
      </w:r>
      <w:proofErr w:type="spellEnd"/>
      <w:r w:rsidRPr="00A045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0451E">
        <w:rPr>
          <w:rFonts w:ascii="Times New Roman" w:hAnsi="Times New Roman" w:cs="Times New Roman"/>
          <w:sz w:val="28"/>
          <w:szCs w:val="28"/>
          <w:lang w:val="uk-UA"/>
        </w:rPr>
        <w:t>обслуживание</w:t>
      </w:r>
      <w:proofErr w:type="spellEnd"/>
      <w:r w:rsidRPr="00A045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451E" w:rsidRDefault="00A0451E" w:rsidP="002816E3">
      <w:pPr>
        <w:tabs>
          <w:tab w:val="left" w:pos="367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0451E" w:rsidRDefault="00A0451E" w:rsidP="002816E3">
      <w:pPr>
        <w:tabs>
          <w:tab w:val="left" w:pos="367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0451E" w:rsidRDefault="00A0451E" w:rsidP="002816E3">
      <w:pPr>
        <w:tabs>
          <w:tab w:val="left" w:pos="367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Summary</w:t>
      </w:r>
      <w:r w:rsidRPr="00A045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0451E" w:rsidRPr="00A0451E" w:rsidRDefault="00A0451E" w:rsidP="002816E3">
      <w:pPr>
        <w:tabs>
          <w:tab w:val="left" w:pos="36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article covers the</w:t>
      </w:r>
      <w:r w:rsidRPr="00A0451E">
        <w:rPr>
          <w:rFonts w:ascii="Times New Roman" w:hAnsi="Times New Roman" w:cs="Times New Roman"/>
          <w:sz w:val="28"/>
          <w:szCs w:val="28"/>
          <w:lang w:val="en-US"/>
        </w:rPr>
        <w:t xml:space="preserve"> study of local aspects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services </w:t>
      </w:r>
      <w:r w:rsidRPr="00A0451E">
        <w:rPr>
          <w:rFonts w:ascii="Times New Roman" w:hAnsi="Times New Roman" w:cs="Times New Roman"/>
          <w:sz w:val="28"/>
          <w:szCs w:val="28"/>
          <w:lang w:val="en-US"/>
        </w:rPr>
        <w:t xml:space="preserve">market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development at the case </w:t>
      </w:r>
      <w:r w:rsidRPr="00A0451E"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proofErr w:type="spellStart"/>
      <w:r w:rsidRPr="00A0451E">
        <w:rPr>
          <w:rFonts w:ascii="Times New Roman" w:hAnsi="Times New Roman" w:cs="Times New Roman"/>
          <w:sz w:val="28"/>
          <w:szCs w:val="28"/>
          <w:lang w:val="en-US"/>
        </w:rPr>
        <w:t>Transcarpathian</w:t>
      </w:r>
      <w:proofErr w:type="spellEnd"/>
      <w:r w:rsidRPr="00A0451E">
        <w:rPr>
          <w:rFonts w:ascii="Times New Roman" w:hAnsi="Times New Roman" w:cs="Times New Roman"/>
          <w:sz w:val="28"/>
          <w:szCs w:val="28"/>
          <w:lang w:val="en-US"/>
        </w:rPr>
        <w:t xml:space="preserve"> region. First peculiarities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A0451E">
        <w:rPr>
          <w:rFonts w:ascii="Times New Roman" w:hAnsi="Times New Roman" w:cs="Times New Roman"/>
          <w:sz w:val="28"/>
          <w:szCs w:val="28"/>
          <w:lang w:val="en-US"/>
        </w:rPr>
        <w:t>service industries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allocation</w:t>
      </w:r>
      <w:r w:rsidRPr="00A0451E">
        <w:rPr>
          <w:rFonts w:ascii="Times New Roman" w:hAnsi="Times New Roman" w:cs="Times New Roman"/>
          <w:sz w:val="28"/>
          <w:szCs w:val="28"/>
          <w:lang w:val="en-US"/>
        </w:rPr>
        <w:t xml:space="preserve"> in terms of concentration </w:t>
      </w:r>
      <w:r w:rsidR="0039157C">
        <w:rPr>
          <w:rFonts w:ascii="Times New Roman" w:hAnsi="Times New Roman" w:cs="Times New Roman"/>
          <w:sz w:val="28"/>
          <w:szCs w:val="28"/>
          <w:lang w:val="en-US"/>
        </w:rPr>
        <w:t xml:space="preserve">within </w:t>
      </w:r>
      <w:r w:rsidRPr="00A0451E">
        <w:rPr>
          <w:rFonts w:ascii="Times New Roman" w:hAnsi="Times New Roman" w:cs="Times New Roman"/>
          <w:sz w:val="28"/>
          <w:szCs w:val="28"/>
          <w:lang w:val="en-US"/>
        </w:rPr>
        <w:t>lowland, foothill and mountain natural economic zones in the region</w:t>
      </w:r>
      <w:r w:rsidR="0039157C">
        <w:rPr>
          <w:rFonts w:ascii="Times New Roman" w:hAnsi="Times New Roman" w:cs="Times New Roman"/>
          <w:sz w:val="28"/>
          <w:szCs w:val="28"/>
          <w:lang w:val="en-US"/>
        </w:rPr>
        <w:t xml:space="preserve"> are studied</w:t>
      </w:r>
      <w:r w:rsidRPr="00A0451E">
        <w:rPr>
          <w:rFonts w:ascii="Times New Roman" w:hAnsi="Times New Roman" w:cs="Times New Roman"/>
          <w:sz w:val="28"/>
          <w:szCs w:val="28"/>
          <w:lang w:val="en-US"/>
        </w:rPr>
        <w:t>. The influence of proximity to cities of regional subordination to the location and efficiency of the enterprise market, located in different natural and economic areas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shown</w:t>
      </w:r>
      <w:r w:rsidRPr="00A0451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0451E" w:rsidRPr="002816E3" w:rsidRDefault="00A0451E" w:rsidP="002816E3">
      <w:pPr>
        <w:tabs>
          <w:tab w:val="left" w:pos="36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451E">
        <w:rPr>
          <w:rFonts w:ascii="Times New Roman" w:hAnsi="Times New Roman" w:cs="Times New Roman"/>
          <w:sz w:val="28"/>
          <w:szCs w:val="28"/>
          <w:lang w:val="en-US"/>
        </w:rPr>
        <w:t xml:space="preserve">Keywords: region, </w:t>
      </w:r>
      <w:r w:rsidR="0039157C" w:rsidRPr="00A0451E">
        <w:rPr>
          <w:rFonts w:ascii="Times New Roman" w:hAnsi="Times New Roman" w:cs="Times New Roman"/>
          <w:sz w:val="28"/>
          <w:szCs w:val="28"/>
          <w:lang w:val="en-US"/>
        </w:rPr>
        <w:t xml:space="preserve">services </w:t>
      </w:r>
      <w:r w:rsidRPr="00A0451E">
        <w:rPr>
          <w:rFonts w:ascii="Times New Roman" w:hAnsi="Times New Roman" w:cs="Times New Roman"/>
          <w:sz w:val="28"/>
          <w:szCs w:val="28"/>
          <w:lang w:val="en-US"/>
        </w:rPr>
        <w:t>market, natural</w:t>
      </w:r>
      <w:r w:rsidR="0039157C">
        <w:rPr>
          <w:rFonts w:ascii="Times New Roman" w:hAnsi="Times New Roman" w:cs="Times New Roman"/>
          <w:sz w:val="28"/>
          <w:szCs w:val="28"/>
          <w:lang w:val="en-US"/>
        </w:rPr>
        <w:t>-economic zone, concentration, servicing</w:t>
      </w:r>
      <w:r w:rsidRPr="00A0451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A0451E" w:rsidRPr="002816E3" w:rsidSect="00EF31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2586"/>
    <w:multiLevelType w:val="hybridMultilevel"/>
    <w:tmpl w:val="53287B4A"/>
    <w:lvl w:ilvl="0" w:tplc="2B4C6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C73"/>
    <w:rsid w:val="000A0F8C"/>
    <w:rsid w:val="00120174"/>
    <w:rsid w:val="00122741"/>
    <w:rsid w:val="00140470"/>
    <w:rsid w:val="00156913"/>
    <w:rsid w:val="00160065"/>
    <w:rsid w:val="00160F85"/>
    <w:rsid w:val="00185825"/>
    <w:rsid w:val="00185A36"/>
    <w:rsid w:val="00192839"/>
    <w:rsid w:val="001B14D8"/>
    <w:rsid w:val="001D6E3E"/>
    <w:rsid w:val="001F7734"/>
    <w:rsid w:val="002061B0"/>
    <w:rsid w:val="0020646A"/>
    <w:rsid w:val="002569D5"/>
    <w:rsid w:val="00257A4C"/>
    <w:rsid w:val="002666FD"/>
    <w:rsid w:val="002816E3"/>
    <w:rsid w:val="002E4663"/>
    <w:rsid w:val="002E501F"/>
    <w:rsid w:val="0030782F"/>
    <w:rsid w:val="0031028F"/>
    <w:rsid w:val="003232F5"/>
    <w:rsid w:val="00335CDF"/>
    <w:rsid w:val="003764A9"/>
    <w:rsid w:val="0039157C"/>
    <w:rsid w:val="00403C5D"/>
    <w:rsid w:val="00417108"/>
    <w:rsid w:val="00437A89"/>
    <w:rsid w:val="00494EA9"/>
    <w:rsid w:val="004B027D"/>
    <w:rsid w:val="004E44CF"/>
    <w:rsid w:val="00565AA8"/>
    <w:rsid w:val="005A6ECF"/>
    <w:rsid w:val="006162F6"/>
    <w:rsid w:val="00636A13"/>
    <w:rsid w:val="006468FC"/>
    <w:rsid w:val="00660898"/>
    <w:rsid w:val="00666B1F"/>
    <w:rsid w:val="00675C73"/>
    <w:rsid w:val="006A342C"/>
    <w:rsid w:val="00730952"/>
    <w:rsid w:val="00732528"/>
    <w:rsid w:val="007C6514"/>
    <w:rsid w:val="007D4643"/>
    <w:rsid w:val="007F0959"/>
    <w:rsid w:val="007F30C6"/>
    <w:rsid w:val="008149AB"/>
    <w:rsid w:val="008259B6"/>
    <w:rsid w:val="00835C97"/>
    <w:rsid w:val="008402AF"/>
    <w:rsid w:val="00857250"/>
    <w:rsid w:val="00945CFD"/>
    <w:rsid w:val="009B7DD2"/>
    <w:rsid w:val="00A0451E"/>
    <w:rsid w:val="00A13B49"/>
    <w:rsid w:val="00A34B01"/>
    <w:rsid w:val="00A35341"/>
    <w:rsid w:val="00A40D4B"/>
    <w:rsid w:val="00A52E5D"/>
    <w:rsid w:val="00A63BD8"/>
    <w:rsid w:val="00AE338E"/>
    <w:rsid w:val="00B305B6"/>
    <w:rsid w:val="00B3194D"/>
    <w:rsid w:val="00B57130"/>
    <w:rsid w:val="00B57292"/>
    <w:rsid w:val="00B760D7"/>
    <w:rsid w:val="00B76473"/>
    <w:rsid w:val="00B873F4"/>
    <w:rsid w:val="00B877E4"/>
    <w:rsid w:val="00C405CE"/>
    <w:rsid w:val="00C5604E"/>
    <w:rsid w:val="00C708B3"/>
    <w:rsid w:val="00CC712D"/>
    <w:rsid w:val="00CD5ADA"/>
    <w:rsid w:val="00D148F7"/>
    <w:rsid w:val="00D1734F"/>
    <w:rsid w:val="00D24EE8"/>
    <w:rsid w:val="00D60676"/>
    <w:rsid w:val="00D609D7"/>
    <w:rsid w:val="00D7451A"/>
    <w:rsid w:val="00D9199D"/>
    <w:rsid w:val="00DE4211"/>
    <w:rsid w:val="00DE60CD"/>
    <w:rsid w:val="00DF6A8E"/>
    <w:rsid w:val="00DF754D"/>
    <w:rsid w:val="00E025C2"/>
    <w:rsid w:val="00E34AC2"/>
    <w:rsid w:val="00E502BD"/>
    <w:rsid w:val="00E75F7A"/>
    <w:rsid w:val="00E946C3"/>
    <w:rsid w:val="00EF3146"/>
    <w:rsid w:val="00F46920"/>
    <w:rsid w:val="00F848BB"/>
    <w:rsid w:val="00FB1C95"/>
    <w:rsid w:val="00FC1818"/>
    <w:rsid w:val="00FE1319"/>
    <w:rsid w:val="00FF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185825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B0144-DB7B-44D8-A548-8247FB24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11</Pages>
  <Words>2945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2012-10-03T11:51:00Z</cp:lastPrinted>
  <dcterms:created xsi:type="dcterms:W3CDTF">2012-09-04T12:11:00Z</dcterms:created>
  <dcterms:modified xsi:type="dcterms:W3CDTF">2012-10-22T08:52:00Z</dcterms:modified>
</cp:coreProperties>
</file>