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C281" w14:textId="77777777" w:rsidR="004F47FA" w:rsidRDefault="004F4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FAEDF7" w14:textId="77777777" w:rsidR="004F47FA" w:rsidRPr="004F47FA" w:rsidRDefault="004F4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C33FCF0" w14:textId="63715C3E" w:rsidR="004F47FA" w:rsidRDefault="004F4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Матеріали Х </w:t>
      </w:r>
      <w:proofErr w:type="spellStart"/>
      <w:r w:rsidRPr="004F47FA">
        <w:rPr>
          <w:rFonts w:ascii="Times New Roman" w:eastAsia="Times New Roman" w:hAnsi="Times New Roman" w:cs="Times New Roman"/>
          <w:color w:val="FF0000"/>
          <w:sz w:val="24"/>
          <w:szCs w:val="24"/>
        </w:rPr>
        <w:t>Міжн</w:t>
      </w:r>
      <w:proofErr w:type="spellEnd"/>
      <w:r w:rsidRPr="004F47FA">
        <w:rPr>
          <w:rFonts w:ascii="Times New Roman" w:eastAsia="Times New Roman" w:hAnsi="Times New Roman" w:cs="Times New Roman"/>
          <w:color w:val="FF0000"/>
          <w:sz w:val="24"/>
          <w:szCs w:val="24"/>
        </w:rPr>
        <w:t>..наук.-</w:t>
      </w:r>
      <w:proofErr w:type="spellStart"/>
      <w:r w:rsidRPr="004F47FA">
        <w:rPr>
          <w:rFonts w:ascii="Times New Roman" w:eastAsia="Times New Roman" w:hAnsi="Times New Roman" w:cs="Times New Roman"/>
          <w:color w:val="FF0000"/>
          <w:sz w:val="24"/>
          <w:szCs w:val="24"/>
        </w:rPr>
        <w:t>практич</w:t>
      </w:r>
      <w:proofErr w:type="spellEnd"/>
      <w:r w:rsidRPr="004F47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4F47FA">
        <w:rPr>
          <w:rFonts w:ascii="Times New Roman" w:eastAsia="Times New Roman" w:hAnsi="Times New Roman" w:cs="Times New Roman"/>
          <w:color w:val="FF0000"/>
          <w:sz w:val="24"/>
          <w:szCs w:val="24"/>
        </w:rPr>
        <w:t>конф</w:t>
      </w:r>
      <w:proofErr w:type="spellEnd"/>
      <w:r w:rsidRPr="004F47FA">
        <w:rPr>
          <w:rFonts w:ascii="Times New Roman" w:eastAsia="Times New Roman" w:hAnsi="Times New Roman" w:cs="Times New Roman"/>
          <w:color w:val="FF0000"/>
          <w:sz w:val="24"/>
          <w:szCs w:val="24"/>
        </w:rPr>
        <w:t>. «Нові технології в геодезії, землевпорядкуванні та природокористуванні» Мукачево-Ужгород, 28-30 жовтня 201-21 р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18D9F72F" w14:textId="77777777" w:rsidR="004F47FA" w:rsidRDefault="004F4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337A0F" w14:textId="77777777" w:rsidR="004F47FA" w:rsidRDefault="004F4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6F1BF7" w14:textId="7CEC8190" w:rsidR="009300A8" w:rsidRDefault="004F4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УДК 338.45:621.548(477)</w:t>
      </w:r>
    </w:p>
    <w:p w14:paraId="62909A96" w14:textId="77777777" w:rsidR="009300A8" w:rsidRDefault="0093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874DBF" w14:textId="77777777" w:rsidR="009300A8" w:rsidRDefault="004F4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Поп С.С.,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І.С.</w:t>
      </w:r>
    </w:p>
    <w:p w14:paraId="41BE8FBF" w14:textId="77777777" w:rsidR="009300A8" w:rsidRDefault="0093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9D79CA" w14:textId="77777777" w:rsidR="009300A8" w:rsidRDefault="004F4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ДВНЗ “Ужгородський національний університет”, географічний факультет, кафедра фізичної географії та раціонального природокористування,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popstepan7@gmail.com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iryna.sharodi@uzhnu.edu.ua</w:t>
      </w:r>
    </w:p>
    <w:p w14:paraId="22560756" w14:textId="77777777" w:rsidR="009300A8" w:rsidRDefault="0093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64369F" w14:textId="77777777" w:rsidR="009300A8" w:rsidRDefault="004F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ВІТРОВА ЕНЕРГЕТИКИ ЗАКАР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ПАТСЬКОЇ ОБЛАСТІ: ПОТЕНЦІАЛ, ПРОБЛЕМИ ТА ПЕРСПЕКТИВИ ОСВОЄННЯ</w:t>
      </w:r>
    </w:p>
    <w:p w14:paraId="74905D6E" w14:textId="77777777" w:rsidR="009300A8" w:rsidRDefault="004F47F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З’ясовано потенціал, проблеми та перспективи  розвитку вітрової енергетики на території Закарпатської області. Проаналізовано основні джерела впливу на довкілля планованої діяльності щодо будівн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ицтва ВЕС «Воловець» встановленою потужністю 120 МВт на території Воловецького та Свалявського районів поза межами населених пунктів. Науково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обгрунтовано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що значного впливу на довкілля в результаті будівництва та подальшої експлуатації даної ВЕС на має,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короткочасний вплив  в межах будівельних та природоохоронних норм відбуватиметься тільки під час будівництва опор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вітрогенераторів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площадок і споруд для трансформаторних підстанцій, під’їзних доріг та прокладки підземних кабелів і інших комунікацій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15D45D6" w14:textId="77777777" w:rsidR="009300A8" w:rsidRDefault="004F47F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Ключові слова.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Відновлювані джерела енергії, вітрова енергетика України, вітроенергетика Закарпаття, відновлювана енергетика Закарпаття, зелена енергетика.             </w:t>
      </w:r>
    </w:p>
    <w:p w14:paraId="524D0CC4" w14:textId="77777777" w:rsidR="009300A8" w:rsidRDefault="004F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300A8">
          <w:pgSz w:w="11906" w:h="16838"/>
          <w:pgMar w:top="1133" w:right="1133" w:bottom="1133" w:left="1133" w:header="708" w:footer="708" w:gutter="0"/>
          <w:pgNumType w:start="1"/>
          <w:cols w:space="720"/>
        </w:sect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70EF95DD" w14:textId="77777777" w:rsidR="009300A8" w:rsidRDefault="004F47F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89klosnb4mpd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проблеми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Україна у відповідності до підписаної </w:t>
      </w:r>
      <w:r>
        <w:rPr>
          <w:rFonts w:ascii="Times New Roman" w:eastAsia="Times New Roman" w:hAnsi="Times New Roman" w:cs="Times New Roman"/>
          <w:sz w:val="24"/>
          <w:szCs w:val="24"/>
        </w:rPr>
        <w:t>Угоди  Асоціації з Європейським Союзом приєдналася до Європейського енергетичного співробітництва та взяла на себе серйозні зобов’язання щодо виробництво електричної енергії за рахунок  відновлюваних джерел енергії (ВДЕ). Це відображено в затвердженій уряд</w:t>
      </w:r>
      <w:r>
        <w:rPr>
          <w:rFonts w:ascii="Times New Roman" w:eastAsia="Times New Roman" w:hAnsi="Times New Roman" w:cs="Times New Roman"/>
          <w:sz w:val="24"/>
          <w:szCs w:val="24"/>
        </w:rPr>
        <w:t>ом Енергетичній стратегії України до 2035 року (Розпорядження КМУ від 18.08.2017 р. №605-р), якою передбачається збільшення в енергобалансі країни частки виробленої електроенергії з використанням ВДЕ на 11 % до 2020 року та на 25 % до 2035 року [1]. Досягн</w:t>
      </w:r>
      <w:r>
        <w:rPr>
          <w:rFonts w:ascii="Times New Roman" w:eastAsia="Times New Roman" w:hAnsi="Times New Roman" w:cs="Times New Roman"/>
          <w:sz w:val="24"/>
          <w:szCs w:val="24"/>
        </w:rPr>
        <w:t>ення цих показників вимагає залучення величезних інвестицій в цей сектор економіки. Після прийняття в Україні законодавчої норми про «зелений» тариф для виробників екологічно чистої енергії з використанням відновлюваних енергетичних ресурсів (ВЕР) зарубіжн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 і вітчизняні інвестори активізували реалізацію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щодо </w:t>
      </w:r>
      <w:r>
        <w:rPr>
          <w:rFonts w:ascii="Times New Roman" w:eastAsia="Times New Roman" w:hAnsi="Times New Roman" w:cs="Times New Roman"/>
          <w:sz w:val="24"/>
          <w:szCs w:val="24"/>
        </w:rPr>
        <w:t>спорудження об’єктів зеленої енергетики. Найбільш активно споруджуються електростанції з використанням ресурсів сонячного випромінювання та вітру (СЕС і ВЕС), значно випереджаючи освоєння  енер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гії малих річок, біомаси, довкілля та  геотермального тепла. В останні роки різні енергетичні компанії успішно будують нові вітроелектростанції в Запорізькій, Херсонській,  Одеській та Миколаївській областях. Що стосується Українських Карпат, де наявні чи </w:t>
      </w:r>
      <w:r>
        <w:rPr>
          <w:rFonts w:ascii="Times New Roman" w:eastAsia="Times New Roman" w:hAnsi="Times New Roman" w:cs="Times New Roman"/>
          <w:sz w:val="24"/>
          <w:szCs w:val="24"/>
        </w:rPr>
        <w:t>не найкращі вітрові поля для будівництва ВЕС, введені в дію тільки перші ВЕС на території Львівщини [2].  Планується будівництво нових ВЕС у Львівській, Івано-Франківській та Закарпатській областях [2, 3]. Однак на відміну від південних областей у Західном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регіоні інвестори стикаються із добре організованим спротивом щодо реалізації своїх намірів з боку окремих «зелених» активістів [ 4 ]. Під гаслом захисту довкілля вони гальмують процес освоєння енергії  вітру навіть там, де  забудовник отримав 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відповід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ності до чинного законодавства дозвільні документи. Особливу активність вони проявляють на території Закарпаття, заперечуючи не тільки будівництво ВЕС, але й дериваційних малих ГЕС на гірських річках та навіть рекреаційно-туристичних комплексів. </w:t>
      </w:r>
    </w:p>
    <w:p w14:paraId="3255373F" w14:textId="77777777" w:rsidR="009300A8" w:rsidRDefault="004F47F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9di5ehey020n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Закарпатт</w:t>
      </w:r>
      <w:r>
        <w:rPr>
          <w:rFonts w:ascii="Times New Roman" w:eastAsia="Times New Roman" w:hAnsi="Times New Roman" w:cs="Times New Roman"/>
          <w:sz w:val="24"/>
          <w:szCs w:val="24"/>
        </w:rPr>
        <w:t>я вирізняється серед регіонів України тим, що має найбагатший потенціал природних ресурсів загалом та, водночас, має найнижчий економічний розвиток. Маючи найкращий потенціал відновлюваних енергетичних ресурсів (зокрема, більше половини технічно  доступног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потенціалу України в частині геотермальних ресурсів, понад четвертину гідроенергетичного потенціалу гірських річок, а також  чималий потенціал ресурсів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біомамаси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(відходи лісогосподарської діяльності 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агропромисовому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комплексі), в теперішній час в об</w:t>
      </w:r>
      <w:r>
        <w:rPr>
          <w:rFonts w:ascii="Times New Roman" w:eastAsia="Times New Roman" w:hAnsi="Times New Roman" w:cs="Times New Roman"/>
          <w:sz w:val="24"/>
          <w:szCs w:val="24"/>
        </w:rPr>
        <w:t>ласті  виробляється наявними об’єктами зеленої енергетики тільки близько 10% електроенергії від загальних потреб. Більша частина генеруючих потужностей СЕС і малих та міні-ГЕС введена в дію в останні роки. Станом на середину 2021 року введено вдію промисло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вих  СЕС загальною потужністю 240 МВт та понад 3000 СЕС на дахах будівель та прибудинкових територіях загальною потужністю 88 МВт, а також більше 10 МГЕС. Біогазові електростанції також розпочато споруджувати, дві уже введено в дію  в селах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Чопівці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Мукачів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ського району та  Барвінок Ужгородського району. Вітрові та геотермальні ресурси поки що не використані для промислового виробництва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електроененргії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Останні активно освоюються тільки для рекреаційних цілей.</w:t>
      </w:r>
    </w:p>
    <w:p w14:paraId="0A353E63" w14:textId="77777777" w:rsidR="009300A8" w:rsidRDefault="004F47F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3" w:name="_heading=h.m4yuk5enm9qm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Розвиток вітроенергетики на території Закарпаття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можливий тільки на окремих ділянках, переважно на високогірних полонинах де є стабільні в часі вітрові поля достатньої сили. Місцевості, які придатні для розміщення вітрових енергоагрегатів наявні, зокрема на горах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Гемба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Стій, Великий Верх, Плай,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Яворник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Менчул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інших, де середньорічна швидкість вітру складає 5-7,5 м/с  в приземних шарах і значно  більше на висоті опор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вітроагрегатів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(близько 100 м).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37A70EEB" w14:textId="77777777" w:rsidR="009300A8" w:rsidRDefault="004F47F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даній роботі проаналізовано перспективи розвитку вітроенергетики Закарпаття на прикладі першого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інвестиційного проекту, за яким передбачається ТОВ «Воловець-Енерджі» здійснити будівництво ВЕС «Воловець» у Закарпатській області загальною потужністю 120 МВт на землях селищної ради смт. Воловець (за межам населеного пункту) бувшого Воловецького району,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землях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Березниківської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Дусинської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Нелипінської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Тибавської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сільських рад (за межами населених пунктів) бувшого Свалявського району Закарпатської області. Метою реалізації проекту є виробництво електроенергії з використанням енергії вітру. Основним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завданням проекту є встановлення нових потужностей (вітрових установок) для виробництва електроенергії, розвиток інфраструктури території, прилеглої до планованої діяльності.  Передбачається, що це сприятиме, водночас відновленню належного традиційного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онинського господарства, стабільному зростанню туристичної галузі та соціально-економічному розвитку поселень Закарпатської області загалом. </w:t>
      </w:r>
    </w:p>
    <w:p w14:paraId="1EF414A1" w14:textId="77777777" w:rsidR="009300A8" w:rsidRDefault="004F47F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Виклад основного матеріалу.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Реалізація проекту ВЕС «Воловець»  здійснюється у повній відповідності чинному законод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авству України. Звіт з Оцінки впливу на довкілля ВЕС «Воловець» виконано  групою фахівців різних галузей знань Національного університету біоресурсів та природокористування, а також Ужгородського національного університету. Використано також результати дос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ліджень виконаних на замовлення Забудовника щодо спеціальних досліджень міграції птахів (А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зово-Чорноморська орнітологічна станція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Мелітополь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геолого-вишукувальних робіт (ФОП Ковальчук А.А.), Звіту з ОВНС (ТОВ «Науково-виробниче підприємство «ЕКОЗАХИСТ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м. Київ), Звіту «Захист від шуму» (ТОВ Науково-технічний  центр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Екобудексперт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»), Довідки «Комплексна  кліматична  характеристика» (Закарпатський обласний центр гідрометеорології) та ін.</w:t>
      </w:r>
    </w:p>
    <w:p w14:paraId="14C8345D" w14:textId="77777777" w:rsidR="009300A8" w:rsidRDefault="004F47F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 перший інвестиційний проект у Закарпатській області, яким планується використати унікальний потенціал вітрового поля, як відновлюваного місцевого ресурсу. Зважаючи, що значна частина гірських територій Закарпаття заліснена, а також віднесена до територі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заповідного фонду (зокрема, до Карпатського біосферного заповідника, трьох національних природних парків та ін.), то придатних для розміщення вітроенергетичних установок локацій не так і багато.  Обране в даному проекті місцеположення ВЕС (див. рис.1.) 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унікальним не тільки для Закарпаття, але й в Україні загалом. Адже тут наявні численні ділянки з майже ідеальними для ВЕС показниками вітрового поля (див. табл.1 і 2), є незаліснені, є придатними з огляду на природно-кліматичні та соціально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економічномі</w:t>
      </w:r>
      <w:r>
        <w:rPr>
          <w:rFonts w:ascii="Times New Roman" w:eastAsia="Times New Roman" w:hAnsi="Times New Roman" w:cs="Times New Roman"/>
          <w:sz w:val="24"/>
          <w:szCs w:val="24"/>
        </w:rPr>
        <w:t>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чинники. Зокрема, тут наявні електромережі на незначних віддалях від планованих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вітроагегатів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що є привабливим чинником для реалізації такого проекту. За багаторічними спостереженнями сніголавинної станції Плай, для даного регіону переважають протягом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 вітри із середньою річною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швидкістью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вітру 5.8 м/с, а  максимальною із середніх - 6.5 м/с. В таблицях приведено дані середньої місячної та річної швидкості вітру (м/с) на висоті флюгера 15 м над поверхнею землі, а також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число днів з певними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швидкостями вітру.  Бачимо, що значну кількість днів року вітер має ідеальну для роботи ВЕС швидкість 10-25 м/с, що дає  перспективу ефективної роботи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вітрякі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До того ж на висоті опор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вітроарегатів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(близько 100 м) швидкість вітру є більшою і стабільнішою.</w:t>
      </w:r>
    </w:p>
    <w:p w14:paraId="5F8D9F63" w14:textId="77777777" w:rsidR="009300A8" w:rsidRDefault="004F47F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основних позитивних соціально - економічних аспектів реалізації даного проекту віднесено наступні:</w:t>
      </w:r>
    </w:p>
    <w:p w14:paraId="57287D5E" w14:textId="77777777" w:rsidR="009300A8" w:rsidRDefault="004F47F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значний внесок у розвиток вітроенергетики в Закарпатській області і Україні, що відповідає Енергетичній стратегії України на період до 2035 року;</w:t>
      </w:r>
    </w:p>
    <w:p w14:paraId="475E6846" w14:textId="77777777" w:rsidR="009300A8" w:rsidRDefault="004F47F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творення генеруючої потужності на території Закарпатської області дозволить поліпшити енергетичний баланс області та зменшити транспортування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енeргії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Бурштинської ТЕС, яке супроводжується значними технологічними втратами енергії в протяжній електромережі</w:t>
      </w:r>
      <w:r>
        <w:rPr>
          <w:rFonts w:ascii="Times New Roman" w:eastAsia="Times New Roman" w:hAnsi="Times New Roman" w:cs="Times New Roman"/>
          <w:sz w:val="24"/>
          <w:szCs w:val="24"/>
        </w:rPr>
        <w:t>, що сягають до 40 %;</w:t>
      </w:r>
    </w:p>
    <w:p w14:paraId="0BD31934" w14:textId="77777777" w:rsidR="009300A8" w:rsidRDefault="004F47F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зменшення тиску на довкілля викидів шкідливих парникових газів шляхом диверсифікації виробництва енергії із застосуванням вітру як екологічно чистого джерела; </w:t>
      </w:r>
    </w:p>
    <w:p w14:paraId="3C7A9637" w14:textId="77777777" w:rsidR="009300A8" w:rsidRDefault="004F47F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поліпшенння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якості та надійності енергопостачання гірських районів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області, що відповідає національній енергетичній безпеці  загалом; </w:t>
      </w:r>
    </w:p>
    <w:p w14:paraId="45E189E8" w14:textId="77777777" w:rsidR="009300A8" w:rsidRDefault="004F47F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покращення інфраструктури, зокрема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будівництво нових і реконструкція наявних доріг;</w:t>
      </w:r>
    </w:p>
    <w:p w14:paraId="78745F85" w14:textId="77777777" w:rsidR="009300A8" w:rsidRDefault="004F47F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є) створення нових робочих місць, особливо в період будівництва об`єктів ВЕС, а також підготовка кв</w:t>
      </w:r>
      <w:r>
        <w:rPr>
          <w:rFonts w:ascii="Times New Roman" w:eastAsia="Times New Roman" w:hAnsi="Times New Roman" w:cs="Times New Roman"/>
          <w:sz w:val="24"/>
          <w:szCs w:val="24"/>
        </w:rPr>
        <w:t>аліфікованих кадрів, які згодом прийматимуть участь у реалізації  інших проектів;</w:t>
      </w:r>
    </w:p>
    <w:p w14:paraId="23817425" w14:textId="77777777" w:rsidR="009300A8" w:rsidRDefault="004F47F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сприяння розвитку соціальної і промислової інфраструктури гірських  районів і області загалом; наведення чистоти на території полонин, захаращених відходами від військових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об’єктів радянської доби та сміттям від туристів;</w:t>
      </w:r>
    </w:p>
    <w:p w14:paraId="3851689D" w14:textId="77777777" w:rsidR="009300A8" w:rsidRDefault="004F47F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наповнення бюджетів шляхом оплати орендної плати  місцевим бюджетам і власникам земельних ділянок, сплати відповідних податків до бюджетів різних рівнів тощо.</w:t>
      </w:r>
    </w:p>
    <w:p w14:paraId="26271937" w14:textId="77777777" w:rsidR="009300A8" w:rsidRDefault="004F47F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Реалізація даного проекту - це внесок у диверсифікацію виробництва електроенергії в Західному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регіоні України. Його реалізація сприятиме покращенню його туристичної та інвестиційної привабливості, забезпеченню збалансованого розвитку, зменшенню залежності від зовнішніх енергетичних ресурсів та загалом сприятиме енергетичній безпеці України,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</w:rPr>
        <w:t>ещицю у вирішення світової задачі боротьби зі зміною клімату шляхом покращення балансу парникових газів.</w:t>
      </w:r>
    </w:p>
    <w:p w14:paraId="44FF2613" w14:textId="77777777" w:rsidR="009300A8" w:rsidRDefault="004F47F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Серед основних джерел потенційного впливу ВЕС «Воловець» на довкілля  виділимо наступні:</w:t>
      </w:r>
    </w:p>
    <w:p w14:paraId="0B64919B" w14:textId="77777777" w:rsidR="009300A8" w:rsidRDefault="004F47F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візуальний вплив на ландшафт, який полягає в тому, що на міс</w:t>
      </w:r>
      <w:r>
        <w:rPr>
          <w:rFonts w:ascii="Times New Roman" w:eastAsia="Times New Roman" w:hAnsi="Times New Roman" w:cs="Times New Roman"/>
          <w:sz w:val="24"/>
          <w:szCs w:val="24"/>
        </w:rPr>
        <w:t>цевості  вітроенергетичні установки висотою до 150 м (з урахуванням обертання лопатей) проглядаються на значних відстанях та змінюють вигляд природного ландшафту; такий вплив має місце через споглядання із смт. Воловець двох ВЕУ, що розташовані поблизу мет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еостанції Плай; решту ВЕУ (32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не видно із поселень, емоційний вплив від них можуть отримати тільки особи, які знаходяться безпосередньо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Боржавських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Полонинах в зоні видимості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вітроагрегатів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328D99" w14:textId="77777777" w:rsidR="009300A8" w:rsidRDefault="004F47F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мерехтлива тінь - обертання лопатей турбін за певних умо</w:t>
      </w:r>
      <w:r>
        <w:rPr>
          <w:rFonts w:ascii="Times New Roman" w:eastAsia="Times New Roman" w:hAnsi="Times New Roman" w:cs="Times New Roman"/>
          <w:sz w:val="24"/>
          <w:szCs w:val="24"/>
        </w:rPr>
        <w:t>в створює рухому тінь, яка могла би в окремих ділянках прилеглої території створювати дискомфорт для людини, однак її прояв при рельєфі території планованої  діяльності та положеннях сонцестояння відносно спостерігача  практично виключений;</w:t>
      </w:r>
    </w:p>
    <w:p w14:paraId="2A6EF974" w14:textId="77777777" w:rsidR="009300A8" w:rsidRDefault="004F47F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шумовий вплив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 вібрація, що створюються під час обертання лопатей та  при роботі генераторів  може негативно впливати на живі організми, а також спричинювати небажані геофізичні процеси, наприклад сходження снігових лавин, однак для обраних сучасних технічно та техно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логічно досконалих типів ВЕУ прояв цих чинників незначний; </w:t>
      </w:r>
    </w:p>
    <w:p w14:paraId="7E64ACEE" w14:textId="77777777" w:rsidR="009300A8" w:rsidRDefault="004F47F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електромагнітне випромінювання, джерелом якого є  не самі ВЕУ, а проектовані повітряні і кабельні лінії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електропередач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трансформаторні підстанції може впливати на живі організми; однак вони п</w:t>
      </w:r>
      <w:r>
        <w:rPr>
          <w:rFonts w:ascii="Times New Roman" w:eastAsia="Times New Roman" w:hAnsi="Times New Roman" w:cs="Times New Roman"/>
          <w:sz w:val="24"/>
          <w:szCs w:val="24"/>
        </w:rPr>
        <w:t>роектуються технічно і технологічно так, щоб убезпечити від цього впливу відповідно до діючих законодавчо-нормативних вимог як у відношенні впливу на довкілля, так і для персоналу ВЕС та інших осіб, які можуть знаходитися поблизу ВЕУ та інженерних споруд;</w:t>
      </w:r>
    </w:p>
    <w:p w14:paraId="774B25D6" w14:textId="77777777" w:rsidR="009300A8" w:rsidRDefault="004F47F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 вплив на землекористування: певна площа земель, яка складає тільки 0,01% від загальної площі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Боржавських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Полонин, буде зайнята в ході будівництва стаціонарних і тимчасових об'єктів; використовуються ділянки вільні від лісових насаджень,  що не мають осо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бливо цінної рослинності та оселищ тварин або гніздування птахів; вони є незначними за площею, тому тимчасове порушення земель на період будівництва ВЕС не спричинить значного впливу на довкілля; </w:t>
      </w:r>
    </w:p>
    <w:p w14:paraId="18F77ADB" w14:textId="77777777" w:rsidR="009300A8" w:rsidRDefault="004F47F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 вплив на флору та фауну може  бути спричинений через пор</w:t>
      </w:r>
      <w:r>
        <w:rPr>
          <w:rFonts w:ascii="Times New Roman" w:eastAsia="Times New Roman" w:hAnsi="Times New Roman" w:cs="Times New Roman"/>
          <w:sz w:val="24"/>
          <w:szCs w:val="24"/>
        </w:rPr>
        <w:t>ушення земель на яких  наявні цінні види рослин або оселища тварин, через ризик загибелі птахів (зокрема, рукокрилих) при зіткненні  лопатями турбін ВЕУ,  через вплив електромагнітного випромінювання, шуму, вібрації тощо; оцінка такого впливу  за величиною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 просторовим масштабом детально розглядається у Звіті і оцінюється як не значна;</w:t>
      </w:r>
    </w:p>
    <w:p w14:paraId="6930DDA0" w14:textId="77777777" w:rsidR="009300A8" w:rsidRDefault="004F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вплив на повітряне середовище матиме місце тимчасово тільки при роботі транспорту та іншої техніки в період підготовчих та будівельних робіт; викидів у атмосферу при ста</w:t>
      </w:r>
      <w:r>
        <w:rPr>
          <w:rFonts w:ascii="Times New Roman" w:eastAsia="Times New Roman" w:hAnsi="Times New Roman" w:cs="Times New Roman"/>
          <w:sz w:val="24"/>
          <w:szCs w:val="24"/>
        </w:rPr>
        <w:t>ціонарній роботі ВЕС не відбуватиметься взагалі;</w:t>
      </w:r>
    </w:p>
    <w:p w14:paraId="12B33A90" w14:textId="77777777" w:rsidR="009300A8" w:rsidRDefault="004F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вплив на водне середовище буде мати місце тільки в період стоку дощових та талих у період підготовчих та будівельних робіт; в період експлуатації ВЕС скидів у водне середовище не матиме місця взагалі; поб</w:t>
      </w:r>
      <w:r>
        <w:rPr>
          <w:rFonts w:ascii="Times New Roman" w:eastAsia="Times New Roman" w:hAnsi="Times New Roman" w:cs="Times New Roman"/>
          <w:sz w:val="24"/>
          <w:szCs w:val="24"/>
        </w:rPr>
        <w:t>утові потреби водозабезпечення привозною водою та водовідведення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каналювання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будуть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негативних наслідків для довкілля;</w:t>
      </w:r>
    </w:p>
    <w:p w14:paraId="00DA6E53" w14:textId="77777777" w:rsidR="009300A8" w:rsidRDefault="004F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 вплив на безпеку життєдіяльності населення можливий при транспортуванні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високогабаритного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устаткування для ВЕС, 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також у випадках неналежного дотримання норм чинного законодавства при реалізації проекту;  заходи щодо запобігання прояву такого впливу передбачені технологічним процесом реалізації проекту. </w:t>
      </w:r>
    </w:p>
    <w:p w14:paraId="56C7089E" w14:textId="77777777" w:rsidR="009300A8" w:rsidRDefault="004F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Висновки. </w:t>
      </w:r>
      <w:r>
        <w:rPr>
          <w:rFonts w:ascii="Times New Roman" w:eastAsia="Times New Roman" w:hAnsi="Times New Roman" w:cs="Times New Roman"/>
          <w:sz w:val="24"/>
          <w:szCs w:val="24"/>
        </w:rPr>
        <w:t>Розвиток вітроенергетики Закарпаття  має добру персп</w:t>
      </w:r>
      <w:r>
        <w:rPr>
          <w:rFonts w:ascii="Times New Roman" w:eastAsia="Times New Roman" w:hAnsi="Times New Roman" w:cs="Times New Roman"/>
          <w:sz w:val="24"/>
          <w:szCs w:val="24"/>
        </w:rPr>
        <w:t>ективу, зважаючи на наявність місцевостей з майже ідеальними  показниками швидкості вітру протягом значного періоду року. Вона  може стати основним джерелом відновлюваної енергетики в досягненні енергетичної незалежності Закарпаття. При цьому сприятиме роз</w:t>
      </w:r>
      <w:r>
        <w:rPr>
          <w:rFonts w:ascii="Times New Roman" w:eastAsia="Times New Roman" w:hAnsi="Times New Roman" w:cs="Times New Roman"/>
          <w:sz w:val="24"/>
          <w:szCs w:val="24"/>
        </w:rPr>
        <w:t>витку інфраструктури територій та пожвавленню соціально-економічного розвитку, зокрема розвитку рекреації та туризму.</w:t>
      </w:r>
    </w:p>
    <w:p w14:paraId="2CA28485" w14:textId="77777777" w:rsidR="009300A8" w:rsidRDefault="004F47F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Заміщаючи потужності теплових електростанцій, водночас вирішуватиметься важлива загальнодержавна задача щодо скорочення викидів парникових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газів. До того ж ВЕС займають незначні земельні площі порівняно з СЕС та МГЕС аналогічних потужностей.</w:t>
      </w:r>
    </w:p>
    <w:p w14:paraId="71C2AF91" w14:textId="77777777" w:rsidR="009300A8" w:rsidRDefault="004F47F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 «Воловець», яка вироблятиме щороку 423 000 МВт *год, забезпечить майже половину загальнообласних потреб теперішнього споживання електроенергії.  Хре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бет Полонина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Боржава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має потенціал вітрового поля, який при раціональному використання може забезпечити майже всі потреби гірських районів Закарпаття в електроенергії, відмовитися в перспективі від використання паливних дров.</w:t>
      </w:r>
    </w:p>
    <w:p w14:paraId="54D631EE" w14:textId="77777777" w:rsidR="009300A8" w:rsidRDefault="0093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300A8">
          <w:type w:val="continuous"/>
          <w:pgSz w:w="11906" w:h="16838"/>
          <w:pgMar w:top="1133" w:right="1133" w:bottom="1133" w:left="1133" w:header="708" w:footer="708" w:gutter="0"/>
          <w:cols w:num="2" w:space="720" w:equalWidth="0">
            <w:col w:w="4458" w:space="720"/>
            <w:col w:w="4458" w:space="0"/>
          </w:cols>
        </w:sectPr>
      </w:pPr>
    </w:p>
    <w:p w14:paraId="384652CD" w14:textId="77777777" w:rsidR="009300A8" w:rsidRDefault="009300A8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CE3460E" w14:textId="77777777" w:rsidR="009300A8" w:rsidRDefault="004F47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Табл.1.</w:t>
      </w:r>
    </w:p>
    <w:p w14:paraId="36038125" w14:textId="77777777" w:rsidR="009300A8" w:rsidRDefault="004F47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Середньомісячна та річна швидкість вітру (м/с) на сніголавинній станції Плай</w:t>
      </w:r>
    </w:p>
    <w:tbl>
      <w:tblPr>
        <w:tblStyle w:val="a8"/>
        <w:tblW w:w="9862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7"/>
        <w:gridCol w:w="759"/>
        <w:gridCol w:w="759"/>
        <w:gridCol w:w="758"/>
        <w:gridCol w:w="759"/>
        <w:gridCol w:w="759"/>
        <w:gridCol w:w="758"/>
        <w:gridCol w:w="759"/>
        <w:gridCol w:w="759"/>
        <w:gridCol w:w="758"/>
        <w:gridCol w:w="759"/>
        <w:gridCol w:w="759"/>
        <w:gridCol w:w="759"/>
      </w:tblGrid>
      <w:tr w:rsidR="009300A8" w14:paraId="39FF7714" w14:textId="77777777">
        <w:trPr>
          <w:jc w:val="right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E3E3C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5CCF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3694E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BDC10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5F5B5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D474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VІ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64CB8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VІІ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FBF1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VІІІ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3493C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ІХ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D3FDD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7DC8C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ХІ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4C9D6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ХІІ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014EC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Рік</w:t>
            </w:r>
          </w:p>
        </w:tc>
      </w:tr>
      <w:tr w:rsidR="009300A8" w14:paraId="7F30B20E" w14:textId="77777777">
        <w:trPr>
          <w:jc w:val="right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0FD6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448DA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BB14F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DC92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3A1B6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F8055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B2614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A802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A06EF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8A6C2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25991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2C83F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8F80B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</w:tr>
    </w:tbl>
    <w:p w14:paraId="0A2BD127" w14:textId="77777777" w:rsidR="009300A8" w:rsidRDefault="00930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E0387A1" w14:textId="77777777" w:rsidR="009300A8" w:rsidRDefault="004F47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Табл. 2</w:t>
      </w:r>
    </w:p>
    <w:p w14:paraId="787709BF" w14:textId="77777777" w:rsidR="009300A8" w:rsidRDefault="004F47F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Середнє число днів із даною швидкістю вітру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сніголавинній станції Плай</w:t>
      </w:r>
    </w:p>
    <w:tbl>
      <w:tblPr>
        <w:tblStyle w:val="a9"/>
        <w:tblW w:w="9945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9300A8" w14:paraId="3DDFC460" w14:textId="77777777">
        <w:trPr>
          <w:jc w:val="right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D190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Швидкість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2773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F5213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C80F1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B4F73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3EDEE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BA6BE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945A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VІІ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058F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VІІІ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1EFA8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B60F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C0F81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B883A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ХІІ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5F408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Рік</w:t>
            </w:r>
          </w:p>
        </w:tc>
      </w:tr>
      <w:tr w:rsidR="009300A8" w14:paraId="74CFB066" w14:textId="77777777">
        <w:trPr>
          <w:jc w:val="right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7F40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0"/>
                <w:id w:val="-1549831047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≥ 10 м/с</w:t>
                </w:r>
              </w:sdtContent>
            </w:sdt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9511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E6659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92E83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A2AB0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46646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45815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3F07F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E344B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8FA43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AE16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625A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DE0CD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5E499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206,3</w:t>
            </w:r>
          </w:p>
        </w:tc>
      </w:tr>
      <w:tr w:rsidR="009300A8" w14:paraId="590A74AF" w14:textId="77777777">
        <w:trPr>
          <w:jc w:val="right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2BC5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1"/>
                <w:id w:val="-1413534397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≥ 15 м/с</w:t>
                </w:r>
              </w:sdtContent>
            </w:sdt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0202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A740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8EF48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88DC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F4980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645A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DBB06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C8A9B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E2356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A1F0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74C3A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43751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0E25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9300A8" w14:paraId="2D3814DE" w14:textId="77777777">
        <w:trPr>
          <w:jc w:val="right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5637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2"/>
                <w:id w:val="-1578666349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≥ 25 м/с</w:t>
                </w:r>
              </w:sdtContent>
            </w:sdt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71A06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E522B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2EF8D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CA2FB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37D9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C504E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19D52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D3C96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A329E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48EFF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E9DEF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DB6BC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82D21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300A8" w14:paraId="5ECC3008" w14:textId="77777777">
        <w:trPr>
          <w:jc w:val="right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663C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3"/>
                <w:id w:val="1124430455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≥ 40 м/с</w:t>
                </w:r>
              </w:sdtContent>
            </w:sdt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FE09E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8D88E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7A2F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41234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B000D" w14:textId="77777777" w:rsidR="009300A8" w:rsidRDefault="0093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DD52E" w14:textId="77777777" w:rsidR="009300A8" w:rsidRDefault="0093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8131C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20B5C" w14:textId="77777777" w:rsidR="009300A8" w:rsidRDefault="0093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AC1BA" w14:textId="77777777" w:rsidR="009300A8" w:rsidRDefault="0093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FFB1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C24B6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913E3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CC708" w14:textId="77777777" w:rsidR="009300A8" w:rsidRDefault="004F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</w:tbl>
    <w:p w14:paraId="5A5B909A" w14:textId="77777777" w:rsidR="009300A8" w:rsidRDefault="00930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5C73ACB" w14:textId="77777777" w:rsidR="009300A8" w:rsidRDefault="004F47FA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559D0E82" wp14:editId="05428512">
            <wp:extent cx="3768563" cy="2906067"/>
            <wp:effectExtent l="0" t="0" r="0" b="0"/>
            <wp:docPr id="15" name="image1.png" descr="Зображення, що містить карта&#10;&#10;Автоматично згенерований оп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Зображення, що містить карта&#10;&#10;Автоматично згенерований опис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8563" cy="29060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271EDD" w14:textId="77777777" w:rsidR="009300A8" w:rsidRDefault="004F47F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300A8">
          <w:type w:val="continuous"/>
          <w:pgSz w:w="11906" w:h="16838"/>
          <w:pgMar w:top="1133" w:right="1133" w:bottom="1133" w:left="1133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Рис.1. Місцерозташування Воловецької ВЕС: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Верхньоволовецьке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Нижньоволовецьке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Свалявське лісництва.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Ізківське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лісництво – перспективні ділянки  для ВЕУ у бувшому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Міжгірському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районі.</w:t>
      </w:r>
    </w:p>
    <w:p w14:paraId="42D7E910" w14:textId="77777777" w:rsidR="009300A8" w:rsidRDefault="009300A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14F06A" w14:textId="77777777" w:rsidR="009300A8" w:rsidRDefault="009300A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300A8">
          <w:type w:val="continuous"/>
          <w:pgSz w:w="11906" w:h="16838"/>
          <w:pgMar w:top="1133" w:right="1133" w:bottom="1133" w:left="1133" w:header="708" w:footer="708" w:gutter="0"/>
          <w:cols w:num="2" w:space="720" w:equalWidth="0">
            <w:col w:w="4458" w:space="720"/>
            <w:col w:w="4458" w:space="0"/>
          </w:cols>
        </w:sectPr>
      </w:pPr>
    </w:p>
    <w:p w14:paraId="6E57F808" w14:textId="77777777" w:rsidR="009300A8" w:rsidRDefault="0093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D34FE8" w14:textId="77777777" w:rsidR="009300A8" w:rsidRDefault="004F47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ВИКОРИСТАНОЇ ЛІТЕРАТУРИ</w:t>
      </w:r>
    </w:p>
    <w:p w14:paraId="28AD3AA5" w14:textId="77777777" w:rsidR="009300A8" w:rsidRDefault="009300A8">
      <w:pPr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300A8">
          <w:type w:val="continuous"/>
          <w:pgSz w:w="11906" w:h="16838"/>
          <w:pgMar w:top="1133" w:right="1133" w:bottom="1133" w:left="1133" w:header="708" w:footer="708" w:gutter="0"/>
          <w:cols w:space="720"/>
        </w:sectPr>
      </w:pPr>
    </w:p>
    <w:p w14:paraId="18AF8ABC" w14:textId="77777777" w:rsidR="009300A8" w:rsidRDefault="004F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1.Енергетична стратегія України на період до 2035 року (Схвалена Розпорядженням КМ України від 18 серпня 2017 р. №605-р.)</w:t>
      </w:r>
    </w:p>
    <w:p w14:paraId="216A0A04" w14:textId="77777777" w:rsidR="009300A8" w:rsidRDefault="004F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2.Енергія природи. Інформаційний портал про альтернативні джерела енергії у світі та Україні. – Режим доступу: https:/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/alternative-energy.com.ua  </w:t>
      </w:r>
    </w:p>
    <w:p w14:paraId="7C0F0C5F" w14:textId="77777777" w:rsidR="009300A8" w:rsidRDefault="004F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3.Звіт з оцінки впливу на довкілля будівництва об’єкту «Будівництво вітрової електростанції 120 МВт» на території Воловецької селищної ради у Воловецькому районі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Березниківської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Дусинської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Нелипінської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Тибавської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сільсь</w:t>
      </w:r>
      <w:r>
        <w:rPr>
          <w:rFonts w:ascii="Times New Roman" w:eastAsia="Times New Roman" w:hAnsi="Times New Roman" w:cs="Times New Roman"/>
          <w:sz w:val="24"/>
          <w:szCs w:val="24"/>
        </w:rPr>
        <w:t>ких рад (за межами населених пунктів) Свалявського району у Закарпатській області. Реєстраційний № 2018821379 від 02.08.2018 р.</w:t>
      </w:r>
    </w:p>
    <w:p w14:paraId="685A9F4E" w14:textId="77777777" w:rsidR="009300A8" w:rsidRDefault="004F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4.Замовники вітрової електростанції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Боржаві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надали громадськості сфальшований звіт оцінки впливу ВЕС на довкілля – екологи.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Режим доступу: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https://zakarpattya.net.ua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22.02.2019</w:t>
      </w:r>
    </w:p>
    <w:p w14:paraId="779E6AD8" w14:textId="77777777" w:rsidR="009300A8" w:rsidRDefault="004F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5.Закон України «Про внесення змін до деяких законів України щодо встановлення "зеленого" тарифу» від 25 вересня 2008 р. № 601.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http://zakon2.rada.gov.ua/laws/show/601-17</w:t>
        </w:r>
      </w:hyperlink>
    </w:p>
    <w:p w14:paraId="1375D5CF" w14:textId="77777777" w:rsidR="009300A8" w:rsidRDefault="004F47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Розпорядження Кабінету Міністрів України «Про схвалення Очікуваного національно визначеного внеску України до проекту нової глобальної кліматичної угоди» 16 вересня 2015 р. № 980.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</w:t>
        </w:r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//zakon5.rada.gov.ua/laws/show/980-2015-%D1%80</w:t>
        </w:r>
      </w:hyperlink>
    </w:p>
    <w:p w14:paraId="2A982B0F" w14:textId="77777777" w:rsidR="009300A8" w:rsidRDefault="004F47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Розпорядження Кабінету Міністрів України «Про схвалення Концепції реалізації державної політики у сфері зміни клімату на період до 2030 року» від 7 грудня 2016 р. № 932-р. 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http://www.kmu.gov.ua/control/uk/cardnpd?docid=249573705</w:t>
        </w:r>
      </w:hyperlink>
    </w:p>
    <w:p w14:paraId="2AB8B584" w14:textId="77777777" w:rsidR="009300A8" w:rsidRDefault="004F47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Віроенергетика // Державне агентство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енергоефктивності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енергозбереження в Україні [Електронний ресурс]. – Режим </w:t>
      </w:r>
    </w:p>
    <w:p w14:paraId="0B186558" w14:textId="77777777" w:rsidR="009300A8" w:rsidRDefault="004F47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  <w:sectPr w:rsidR="009300A8">
          <w:type w:val="continuous"/>
          <w:pgSz w:w="11906" w:h="16838"/>
          <w:pgMar w:top="1133" w:right="1133" w:bottom="1133" w:left="1133" w:header="708" w:footer="708" w:gutter="0"/>
          <w:cols w:num="2" w:space="720" w:equalWidth="0">
            <w:col w:w="4458" w:space="720"/>
            <w:col w:w="445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доступу 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http://saee.gov.ua/uk/ae/windenergy</w:t>
        </w:r>
      </w:hyperlink>
    </w:p>
    <w:p w14:paraId="41F49305" w14:textId="77777777" w:rsidR="009300A8" w:rsidRDefault="00930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B90D8B" w14:textId="77777777" w:rsidR="009300A8" w:rsidRDefault="004F4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I.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Sharodi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C496875" w14:textId="77777777" w:rsidR="009300A8" w:rsidRDefault="004F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WIND ENERGY OF THE TRANSCARPATHIAN REGION: POTENTIAL, PROBLEMS AND PROSPECTS OF DEVELOPMENT</w:t>
      </w:r>
    </w:p>
    <w:p w14:paraId="27393DFA" w14:textId="77777777" w:rsidR="009300A8" w:rsidRDefault="004F47FA">
      <w:pPr>
        <w:spacing w:after="0" w:line="30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potential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prospects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Transcarpathian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clarified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sources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construction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Volovets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installed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capacity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120 MW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Volovets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Svalyava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settlements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analyzed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scientifically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substantiated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significant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vironment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construction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short-term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construction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construction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supports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turbines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platforms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structures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</w:t>
      </w:r>
      <w:r>
        <w:rPr>
          <w:rFonts w:ascii="Times New Roman" w:eastAsia="Times New Roman" w:hAnsi="Times New Roman" w:cs="Times New Roman"/>
          <w:sz w:val="24"/>
          <w:szCs w:val="24"/>
        </w:rPr>
        <w:t>former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roads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laying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underground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cables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0B61D5" w14:textId="77777777" w:rsidR="009300A8" w:rsidRDefault="004F47FA">
      <w:pPr>
        <w:spacing w:after="0" w:line="30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Keywords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renewable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sources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Ukraine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Transcarpathia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renewable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Transcarpathia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B50332" w14:textId="77777777" w:rsidR="009300A8" w:rsidRDefault="009300A8">
      <w:pPr>
        <w:spacing w:after="0" w:line="30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484E56" w14:textId="77777777" w:rsidR="009300A8" w:rsidRDefault="009300A8">
      <w:pPr>
        <w:spacing w:after="0" w:line="30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F2036D" w14:textId="77777777" w:rsidR="009300A8" w:rsidRDefault="009300A8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7A3055" w14:textId="77777777" w:rsidR="009300A8" w:rsidRDefault="0093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300A8">
      <w:type w:val="continuous"/>
      <w:pgSz w:w="11906" w:h="16838"/>
      <w:pgMar w:top="1133" w:right="1133" w:bottom="1133" w:left="113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0A8"/>
    <w:rsid w:val="004F47FA"/>
    <w:rsid w:val="0093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B248"/>
  <w15:docId w15:val="{C7DAE8C8-C9F6-4735-8DF3-9DA7EF9A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F303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3038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D79B0"/>
    <w:pPr>
      <w:spacing w:after="200" w:line="276" w:lineRule="auto"/>
      <w:ind w:left="720"/>
      <w:contextualSpacing/>
    </w:pPr>
    <w:rPr>
      <w:lang w:val="ru-RU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601-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arpattya.net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aee.gov.ua/uk/ae/windenergy" TargetMode="External"/><Relationship Id="rId5" Type="http://schemas.openxmlformats.org/officeDocument/2006/relationships/hyperlink" Target="mailto:popstepan7@gmail.com" TargetMode="External"/><Relationship Id="rId10" Type="http://schemas.openxmlformats.org/officeDocument/2006/relationships/hyperlink" Target="http://www.kmu.gov.ua/control/uk/cardnpd?docid=2495737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980-2015-%D1%8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29raqfjk6XHcEPVt2usEVr2nqA==">AMUW2mUskuSyfcKwMhv1P8ocoAzv+UyOCu+RWlytuJQKS8YXk7H0iHwtA8B8bVIePIeF5k1zD6mABuGh7OSdleX3ZVRrKDTCvi+K/HNq2vPTaAKbpuz+F1vEcBVv8p+Oc1rXvaY8ZvmgEHLxfTOfJWypX4z/WfAmO4aqx5eaZzIFznujJJXJWXu2ODmWVXpm1do7MztHpEpfMpeMs/3tTm/fiww6PWzurfsNtXjHmF8UHtfVtQO+GZ1ca+ufW/pzW+9LSyb9RQHNjKHlXjrppdIrxPjpaifcsb30niG9ZUrYFpEm/SY0oVhzNCrZoUWlGtqjBDKPfZHjtxXRnHcQyndB3vIicHbTDg34p3mheLolvfmjrIl46cJ2Tgg8Dv0HsB4Xn4/B6HF5MkCzZ+QSjl1CmwzOJZuW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11938</Words>
  <Characters>6806</Characters>
  <Application>Microsoft Office Word</Application>
  <DocSecurity>0</DocSecurity>
  <Lines>56</Lines>
  <Paragraphs>37</Paragraphs>
  <ScaleCrop>false</ScaleCrop>
  <Company/>
  <LinksUpToDate>false</LinksUpToDate>
  <CharactersWithSpaces>18707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Михайло Васильович</dc:creator>
  <cp:lastModifiedBy>Приходько Михайло Васильович</cp:lastModifiedBy>
  <cp:revision>3</cp:revision>
  <dcterms:created xsi:type="dcterms:W3CDTF">2020-11-13T09:26:00Z</dcterms:created>
  <dcterms:modified xsi:type="dcterms:W3CDTF">2021-11-13T17:47:00Z</dcterms:modified>
</cp:coreProperties>
</file>