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7E" w:rsidRDefault="007D7F7E" w:rsidP="007D7F7E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УДК 496.015.572-057.875</w:t>
      </w:r>
    </w:p>
    <w:p w:rsidR="007D7F7E" w:rsidRDefault="007D7F7E" w:rsidP="007D7F7E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Товт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Сивохоп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Е.М.,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Маріонда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І.І. </w:t>
      </w:r>
    </w:p>
    <w:p w:rsidR="007D7F7E" w:rsidRDefault="007D7F7E" w:rsidP="007D7F7E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ДВНЗ «Ужгородський національний університет», м. Ужгород</w:t>
      </w:r>
    </w:p>
    <w:p w:rsidR="007D7F7E" w:rsidRDefault="007D7F7E" w:rsidP="007D7F7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D7F7E" w:rsidRDefault="007D7F7E" w:rsidP="007D7F7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ВПЛИВ АЕРОБНИХ ФІЗИЧНИХ НАВАНТАЖЕНЬ НА ПОКАЗНИКИ ПРАЦЕЗДАТНОСТІ ТА УСПІШНОСТІ СТУДЕНТІВ</w:t>
      </w:r>
    </w:p>
    <w:p w:rsidR="007D7F7E" w:rsidRDefault="007D7F7E" w:rsidP="007D7F7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F7E" w:rsidRDefault="007D7F7E" w:rsidP="007D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Анотація.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Вплив аеробних фізичних навантажень на показники працездатності та успішності студентів.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В.А.,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Сивохоп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Е.М.,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Маріонда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І.І.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Працездатність та успішність студентів є важливими чинниками результативності навчального процесу. В умовах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гіподинамічного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 життєдіяльності студентів одним із шляхів збереження їхньої працездатності та успішності є аеробне фізичне навантаження, яке компенсує недостатню рухову активність.</w:t>
      </w:r>
    </w:p>
    <w:p w:rsidR="007D7F7E" w:rsidRDefault="007D7F7E" w:rsidP="007D7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дослідження є вивчення впливу аеробних фізичних навантажень на показники працездатності та успішності студентів.</w:t>
      </w:r>
    </w:p>
    <w:p w:rsidR="007D7F7E" w:rsidRDefault="007D7F7E" w:rsidP="007D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Визначено, що динаміка показників тижневого фізичного навантаження у студентів чоловічої і жіночої статі відрізняється. Сумарний об’єм фізичної роботи за тиждень у чоловіків більший.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виявлено впливу фізичної витривалості на успішність студентів чоловічої та жіночої статі, але підтверджено позитивний вплив регулярних занять на показники їх працездатності. Так, показник самооцінки працездатності у чоловіків до завершення експерименту зріс 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±0,1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±0,1, відповідно у жінок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±0,1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±0,1  (Р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 0,5)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7F7E" w:rsidRDefault="007D7F7E" w:rsidP="007D7F7E">
      <w:pPr>
        <w:pStyle w:val="a3"/>
        <w:spacing w:after="0"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Таким чином при однаковому об’ємі та інтенсивності аеробного навантаження у процесі занять з фізичного виховання у студентів чоловічої та жіночої статі витривалість розвивається краще, якщо використовуються для цього не тільки нормативні бігові вправи на витривалість, але й ациклічні вправи: елементи рухливих ігор та силові вправи з малим опором.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7D7F7E" w:rsidRDefault="007D7F7E" w:rsidP="007D7F7E">
      <w:pPr>
        <w:pStyle w:val="a3"/>
        <w:spacing w:after="0" w:line="360" w:lineRule="auto"/>
        <w:ind w:firstLine="540"/>
        <w:jc w:val="both"/>
      </w:pPr>
      <w:r>
        <w:rPr>
          <w:b/>
          <w:bCs/>
          <w:sz w:val="28"/>
          <w:szCs w:val="28"/>
        </w:rPr>
        <w:t>Ключові слова</w:t>
      </w:r>
      <w:r>
        <w:rPr>
          <w:sz w:val="28"/>
          <w:szCs w:val="28"/>
        </w:rPr>
        <w:t>: фізична і розумова працездатність, фізичне виховання, студенти, рухова активність, низький рівень, фізичний стан.</w:t>
      </w:r>
    </w:p>
    <w:p w:rsidR="007D7F7E" w:rsidRDefault="007D7F7E" w:rsidP="007D7F7E">
      <w:pPr>
        <w:pStyle w:val="a3"/>
        <w:spacing w:after="0" w:line="360" w:lineRule="auto"/>
        <w:ind w:firstLine="540"/>
        <w:jc w:val="both"/>
      </w:pPr>
      <w:proofErr w:type="spellStart"/>
      <w:r>
        <w:rPr>
          <w:b/>
          <w:sz w:val="28"/>
          <w:szCs w:val="28"/>
        </w:rPr>
        <w:lastRenderedPageBreak/>
        <w:t>Аннотация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Влияние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аэробных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физических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нагрузок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показатели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работоспособности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успеваемости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студентов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Товт</w:t>
      </w:r>
      <w:proofErr w:type="spellEnd"/>
      <w:r>
        <w:rPr>
          <w:b/>
          <w:sz w:val="28"/>
          <w:szCs w:val="28"/>
        </w:rPr>
        <w:t xml:space="preserve">, В.А., </w:t>
      </w:r>
      <w:proofErr w:type="spellStart"/>
      <w:r>
        <w:rPr>
          <w:b/>
          <w:sz w:val="28"/>
          <w:szCs w:val="28"/>
        </w:rPr>
        <w:t>Сивохопа</w:t>
      </w:r>
      <w:proofErr w:type="spellEnd"/>
      <w:r>
        <w:rPr>
          <w:b/>
          <w:sz w:val="28"/>
          <w:szCs w:val="28"/>
        </w:rPr>
        <w:t xml:space="preserve">, Е.М., </w:t>
      </w:r>
      <w:proofErr w:type="spellStart"/>
      <w:r>
        <w:rPr>
          <w:b/>
          <w:sz w:val="28"/>
          <w:szCs w:val="28"/>
        </w:rPr>
        <w:t>Марионда</w:t>
      </w:r>
      <w:proofErr w:type="spellEnd"/>
      <w:r>
        <w:rPr>
          <w:b/>
          <w:sz w:val="28"/>
          <w:szCs w:val="28"/>
        </w:rPr>
        <w:t xml:space="preserve">, И.И. </w:t>
      </w:r>
      <w:proofErr w:type="spellStart"/>
      <w:r>
        <w:rPr>
          <w:sz w:val="28"/>
          <w:szCs w:val="28"/>
        </w:rPr>
        <w:t>Работоспособность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успеваемость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важными</w:t>
      </w:r>
      <w:proofErr w:type="spellEnd"/>
      <w:r>
        <w:rPr>
          <w:sz w:val="28"/>
          <w:szCs w:val="28"/>
        </w:rPr>
        <w:t xml:space="preserve"> факторами </w:t>
      </w:r>
      <w:proofErr w:type="spellStart"/>
      <w:r>
        <w:rPr>
          <w:sz w:val="28"/>
          <w:szCs w:val="28"/>
        </w:rPr>
        <w:t>результативности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процесса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условиях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гиподинамического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жизнедеятельности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студентов</w:t>
      </w:r>
      <w:proofErr w:type="spellEnd"/>
      <w:r>
        <w:rPr>
          <w:sz w:val="28"/>
          <w:szCs w:val="28"/>
        </w:rPr>
        <w:t xml:space="preserve"> одним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путей </w:t>
      </w:r>
      <w:proofErr w:type="spellStart"/>
      <w:r>
        <w:rPr>
          <w:sz w:val="28"/>
          <w:szCs w:val="28"/>
        </w:rPr>
        <w:t>сохранения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работоспособности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успешности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аэробная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компенсирует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недостаточную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двигательную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активность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C64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аэробных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нагрузок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работоспособности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успеваемости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Определено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студентов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мужского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женского</w:t>
      </w:r>
      <w:proofErr w:type="spellEnd"/>
      <w:r>
        <w:rPr>
          <w:sz w:val="28"/>
          <w:szCs w:val="28"/>
        </w:rPr>
        <w:t xml:space="preserve"> пола </w:t>
      </w:r>
      <w:proofErr w:type="spellStart"/>
      <w:r>
        <w:rPr>
          <w:sz w:val="28"/>
          <w:szCs w:val="28"/>
        </w:rPr>
        <w:t>отличается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Суммарный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неделю</w:t>
      </w:r>
      <w:proofErr w:type="spellEnd"/>
      <w:r>
        <w:rPr>
          <w:sz w:val="28"/>
          <w:szCs w:val="28"/>
        </w:rPr>
        <w:t xml:space="preserve"> у мужчин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. Не </w:t>
      </w:r>
      <w:proofErr w:type="spellStart"/>
      <w:r>
        <w:rPr>
          <w:sz w:val="28"/>
          <w:szCs w:val="28"/>
        </w:rPr>
        <w:t>выявлено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выносливости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успеваемость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мужского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женского</w:t>
      </w:r>
      <w:proofErr w:type="spellEnd"/>
      <w:r>
        <w:rPr>
          <w:sz w:val="28"/>
          <w:szCs w:val="28"/>
        </w:rPr>
        <w:t xml:space="preserve"> пола,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подтверждено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положительное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регулярных</w:t>
      </w:r>
      <w:proofErr w:type="spellEnd"/>
      <w:r>
        <w:rPr>
          <w:sz w:val="28"/>
          <w:szCs w:val="28"/>
        </w:rPr>
        <w:t xml:space="preserve"> занятий на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работоспособности</w:t>
      </w:r>
      <w:proofErr w:type="spellEnd"/>
      <w:r>
        <w:rPr>
          <w:sz w:val="28"/>
          <w:szCs w:val="28"/>
        </w:rPr>
        <w:t xml:space="preserve">. Так, </w:t>
      </w:r>
      <w:proofErr w:type="spellStart"/>
      <w:r>
        <w:rPr>
          <w:sz w:val="28"/>
          <w:szCs w:val="28"/>
        </w:rPr>
        <w:t>показатель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работоспособности</w:t>
      </w:r>
      <w:proofErr w:type="spellEnd"/>
      <w:r>
        <w:rPr>
          <w:sz w:val="28"/>
          <w:szCs w:val="28"/>
        </w:rPr>
        <w:t xml:space="preserve"> у мужчин до </w:t>
      </w:r>
      <w:proofErr w:type="spellStart"/>
      <w:r>
        <w:rPr>
          <w:sz w:val="28"/>
          <w:szCs w:val="28"/>
        </w:rPr>
        <w:t>завершения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эксперимента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вырос</w:t>
      </w:r>
      <w:proofErr w:type="spellEnd"/>
      <w:r>
        <w:rPr>
          <w:sz w:val="28"/>
          <w:szCs w:val="28"/>
        </w:rPr>
        <w:t xml:space="preserve"> с 3,1 ± 0,1 до 3,4 ± 0,1, </w:t>
      </w:r>
      <w:proofErr w:type="spellStart"/>
      <w:r>
        <w:rPr>
          <w:sz w:val="28"/>
          <w:szCs w:val="28"/>
        </w:rPr>
        <w:t>соответственно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женщин</w:t>
      </w:r>
      <w:proofErr w:type="spellEnd"/>
      <w:r>
        <w:rPr>
          <w:sz w:val="28"/>
          <w:szCs w:val="28"/>
        </w:rPr>
        <w:t xml:space="preserve"> - 3,1 ± 0,1 до 3,4 ± 0,1 (Р &lt; 0,5).</w:t>
      </w:r>
      <w:r>
        <w:rPr>
          <w:sz w:val="28"/>
          <w:szCs w:val="28"/>
        </w:rPr>
        <w:tab/>
      </w:r>
      <w:r w:rsidR="00CC64D6" w:rsidRPr="00CC64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Таким образом, при </w:t>
      </w:r>
      <w:proofErr w:type="spellStart"/>
      <w:r>
        <w:rPr>
          <w:sz w:val="28"/>
          <w:szCs w:val="28"/>
        </w:rPr>
        <w:t>одинаковом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интенсивности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аэробной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занятий по </w:t>
      </w:r>
      <w:proofErr w:type="spellStart"/>
      <w:r>
        <w:rPr>
          <w:sz w:val="28"/>
          <w:szCs w:val="28"/>
        </w:rPr>
        <w:t>физическому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мужского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женского</w:t>
      </w:r>
      <w:proofErr w:type="spellEnd"/>
      <w:r>
        <w:rPr>
          <w:sz w:val="28"/>
          <w:szCs w:val="28"/>
        </w:rPr>
        <w:t xml:space="preserve"> пола </w:t>
      </w:r>
      <w:proofErr w:type="spellStart"/>
      <w:r>
        <w:rPr>
          <w:sz w:val="28"/>
          <w:szCs w:val="28"/>
        </w:rPr>
        <w:t>выносливость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используются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упражнения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выносливость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ациклические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элементы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подвижных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силовые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упражнения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малым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сопротивлением</w:t>
      </w:r>
      <w:proofErr w:type="spellEnd"/>
      <w:r>
        <w:rPr>
          <w:sz w:val="28"/>
          <w:szCs w:val="28"/>
        </w:rPr>
        <w:tab/>
      </w:r>
      <w:r w:rsidR="00CC64D6" w:rsidRPr="00CC64D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Ключевые</w:t>
      </w:r>
      <w:proofErr w:type="spellEnd"/>
      <w:r>
        <w:rPr>
          <w:b/>
          <w:bCs/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физическая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умственная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работоспособность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физическое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студенты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двигательная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низкий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физическое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состояние</w:t>
      </w:r>
      <w:proofErr w:type="spellEnd"/>
      <w:r>
        <w:rPr>
          <w:sz w:val="28"/>
          <w:szCs w:val="28"/>
        </w:rPr>
        <w:t>.</w:t>
      </w:r>
    </w:p>
    <w:p w:rsidR="00CC64D6" w:rsidRDefault="00CC64D6" w:rsidP="007D7F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D7F7E" w:rsidRDefault="007D7F7E" w:rsidP="007D7F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impact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aerobic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physical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activity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indicators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performance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achievement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Tovt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, V.A.,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Syvohop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 E.M.,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Marionda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 I.I.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efficiency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success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student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performance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important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factors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learning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process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terms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nature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life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hypodynamic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students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way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maintain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their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efficiency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success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aerobic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exercise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which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compensates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lack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physical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activity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D7F7E" w:rsidRDefault="007D7F7E" w:rsidP="007D7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aim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study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influence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aerobic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physical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activity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performance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efficiency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student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achievement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D7F7E" w:rsidRDefault="007D7F7E" w:rsidP="007D7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Determined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that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dynamics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weekly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physical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activity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students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both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sexes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different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larger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total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amount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work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per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week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women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However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trend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both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women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reduce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amount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physical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work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before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end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week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D7F7E" w:rsidRDefault="007D7F7E" w:rsidP="007D7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was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influence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physical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endurance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student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success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male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female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but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confirmed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positive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effects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regular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exercise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indicators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efficiency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Thus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rate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self-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efficiency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complete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experiment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increased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from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3,1 ± 0,1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3,4 ± 0,1,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respectively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women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- 3,1 ± 0,1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3,4 ± 0,1 (P &lt; 0.5).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So at the same volume and intensity aerobic activity during physical education classes the students male and female endurance develops best if used not only regulatory running endurance exercise, but exercise acyclic: elements of outdoor games and strength training with little resistance.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Key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physical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sport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teaching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improving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4D6" w:rsidRDefault="00CC64D6" w:rsidP="00CC64D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C64D6" w:rsidRPr="006077CF" w:rsidRDefault="00CC64D6" w:rsidP="00CC64D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bCs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A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Текст. </w:t>
      </w:r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Аналіз фізіологічних механізмів формування витривалості людини до аеробних фізичних навантажень показав, що </w:t>
      </w:r>
      <w:r w:rsidRPr="006077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 витривалості викликає три головних ефекти: посилює аеробні можливості організму; підвищує ефективність та економічність діяльності організму при виконанні будь-якої аеробної роботи; дозволяє швидко відновлювати енергетичні ресурси.</w:t>
      </w:r>
    </w:p>
    <w:p w:rsidR="00CC64D6" w:rsidRPr="006077CF" w:rsidRDefault="00CC64D6" w:rsidP="00CC64D6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7CF">
        <w:rPr>
          <w:rFonts w:ascii="Times New Roman" w:eastAsia="Times New Roman" w:hAnsi="Times New Roman" w:cs="Times New Roman"/>
          <w:sz w:val="28"/>
          <w:szCs w:val="28"/>
        </w:rPr>
        <w:t xml:space="preserve">Визначено, що динаміка показників тижневого фізичного навантаження у студентів чоловічої і жіночої статі відрізняється одна від одної. Сумарний об’єм фізичної роботи за тиждень у чоловіків більший. </w:t>
      </w:r>
      <w:r w:rsidRPr="006077CF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 простежується тенденція як у жінок, так і у чоловіків до зниження об’єму фізичної роботи до кінця тижня.</w:t>
      </w:r>
    </w:p>
    <w:p w:rsidR="00CC64D6" w:rsidRPr="006077CF" w:rsidRDefault="00CC64D6" w:rsidP="00CC64D6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виявлено впливу фізичної витривалості на успішність студентів чоловічої та жіночої статі, але підтверджено позитивний вплив регулярних занять на показники їх працездатності. Так, показник самооцінки працездатності у чоловіків до завершення експерименту зріс з 3,1</w:t>
      </w:r>
      <w:r w:rsidRPr="0060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±0,1 до </w:t>
      </w:r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  <w:r w:rsidRPr="006077CF">
        <w:rPr>
          <w:rFonts w:ascii="Times New Roman" w:eastAsia="Times New Roman" w:hAnsi="Times New Roman" w:cs="Times New Roman"/>
          <w:sz w:val="28"/>
          <w:szCs w:val="28"/>
          <w:lang w:eastAsia="ru-RU"/>
        </w:rPr>
        <w:t>±0,1, відповідно у жінок  -</w:t>
      </w:r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3,1</w:t>
      </w:r>
      <w:r w:rsidRPr="0060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±0,1 до </w:t>
      </w:r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  <w:r w:rsidRPr="006077CF">
        <w:rPr>
          <w:rFonts w:ascii="Times New Roman" w:eastAsia="Times New Roman" w:hAnsi="Times New Roman" w:cs="Times New Roman"/>
          <w:sz w:val="28"/>
          <w:szCs w:val="28"/>
          <w:lang w:eastAsia="ru-RU"/>
        </w:rPr>
        <w:t>±0,1  (Р</w:t>
      </w:r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0,5)</w:t>
      </w:r>
      <w:r w:rsidRPr="0060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4D6" w:rsidRPr="006077CF" w:rsidRDefault="00CC64D6" w:rsidP="00CC64D6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подальших дослідженнях доцільно визначити рейтинги популярності фізичних вправ аеробного характеру та за допомогою факторного аналізу математичної структури працездатності студентів вирахувати величини їх факторного навантаження в цій структурі.   </w:t>
      </w:r>
    </w:p>
    <w:p w:rsidR="00CC64D6" w:rsidRPr="006077CF" w:rsidRDefault="00CC64D6" w:rsidP="00CC64D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077CF">
        <w:rPr>
          <w:rFonts w:ascii="Times New Roman" w:hAnsi="Times New Roman" w:cs="Times New Roman"/>
          <w:b/>
          <w:spacing w:val="-6"/>
          <w:sz w:val="28"/>
          <w:szCs w:val="28"/>
        </w:rPr>
        <w:t>Використана література.</w:t>
      </w:r>
    </w:p>
    <w:p w:rsidR="00CC64D6" w:rsidRPr="006077CF" w:rsidRDefault="00CC64D6" w:rsidP="00CC64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Довгопол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Оптимізація оздоровчо-фізкультурної активності студентів. Матеріали конференції: Фізичне виховання студентів вищих навчальних закладів: здобутки, проблеми та шляхи їхнього вирішення в контексті вимог Болонської декларації/ О.М.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Довгопол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Н.А.Уткіна, С.П.Могилко. К.: ТОВ «Козарі», 2007. – С. 82.</w:t>
      </w:r>
    </w:p>
    <w:p w:rsidR="00CC64D6" w:rsidRPr="006077CF" w:rsidRDefault="00CC64D6" w:rsidP="00CC64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физиология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ин-тов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физ.культ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Я.М.Коца. М.: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спорт, 1986. – С. 70-104.  </w:t>
      </w:r>
    </w:p>
    <w:p w:rsidR="00CC64D6" w:rsidRPr="006077CF" w:rsidRDefault="00CC64D6" w:rsidP="00CC64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Теорія и методика фізичного виховання: загальні основи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терії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методики фізичного виховання. Підручник для студентів вищих навчальних закладів фізичної культури і спорту / Під ред. Т.Ю.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Круцевич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НУФВСУ«Олімпійська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література», 2008. –Т-1. С. 226-246.</w:t>
      </w:r>
    </w:p>
    <w:p w:rsidR="00CC64D6" w:rsidRPr="006077CF" w:rsidRDefault="00CC64D6" w:rsidP="00CC64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Provska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J.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Movement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Activity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Secondary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Schools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Female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Pupils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zbirnik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naukovih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stattey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Miznarodnoi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konferencii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22-23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travnya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 r. –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Drogobic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Kolo</w:t>
      </w:r>
      <w:proofErr w:type="spellEnd"/>
      <w:r w:rsidRPr="0060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C. 378.</w:t>
      </w:r>
    </w:p>
    <w:p w:rsidR="009A527A" w:rsidRDefault="009A527A"/>
    <w:sectPr w:rsidR="009A527A" w:rsidSect="009A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4B1F"/>
    <w:multiLevelType w:val="hybridMultilevel"/>
    <w:tmpl w:val="74C04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7E"/>
    <w:rsid w:val="007D7F7E"/>
    <w:rsid w:val="00803CE5"/>
    <w:rsid w:val="009A527A"/>
    <w:rsid w:val="00A34336"/>
    <w:rsid w:val="00CC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7F7E"/>
    <w:pPr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7F7E"/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C6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6036</Characters>
  <Application>Microsoft Office Word</Application>
  <DocSecurity>0</DocSecurity>
  <Lines>50</Lines>
  <Paragraphs>14</Paragraphs>
  <ScaleCrop>false</ScaleCrop>
  <Company>Grizli777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4</cp:revision>
  <dcterms:created xsi:type="dcterms:W3CDTF">2016-02-19T18:05:00Z</dcterms:created>
  <dcterms:modified xsi:type="dcterms:W3CDTF">2016-02-19T18:10:00Z</dcterms:modified>
</cp:coreProperties>
</file>