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59" w:rsidRPr="00080728" w:rsidRDefault="001451E0" w:rsidP="002B06FF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080728">
        <w:rPr>
          <w:b/>
          <w:bCs/>
          <w:sz w:val="28"/>
          <w:szCs w:val="28"/>
          <w:lang w:val="uk-UA"/>
        </w:rPr>
        <w:t>риродн</w:t>
      </w:r>
      <w:r>
        <w:rPr>
          <w:b/>
          <w:bCs/>
          <w:sz w:val="28"/>
          <w:szCs w:val="28"/>
          <w:lang w:val="uk-UA"/>
        </w:rPr>
        <w:t>і</w:t>
      </w:r>
      <w:r w:rsidRPr="00080728">
        <w:rPr>
          <w:b/>
          <w:bCs/>
          <w:sz w:val="28"/>
          <w:szCs w:val="28"/>
          <w:lang w:val="uk-UA"/>
        </w:rPr>
        <w:t xml:space="preserve"> популяці</w:t>
      </w:r>
      <w:r>
        <w:rPr>
          <w:b/>
          <w:bCs/>
          <w:sz w:val="28"/>
          <w:szCs w:val="28"/>
          <w:lang w:val="uk-UA"/>
        </w:rPr>
        <w:t>ї</w:t>
      </w:r>
      <w:r w:rsidRPr="0008072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80728">
        <w:rPr>
          <w:b/>
          <w:bCs/>
          <w:sz w:val="28"/>
          <w:szCs w:val="28"/>
          <w:lang w:val="uk-UA"/>
        </w:rPr>
        <w:t>золототисячника</w:t>
      </w:r>
      <w:proofErr w:type="spellEnd"/>
      <w:r w:rsidRPr="00080728">
        <w:rPr>
          <w:b/>
          <w:bCs/>
          <w:sz w:val="28"/>
          <w:szCs w:val="28"/>
          <w:lang w:val="uk-UA"/>
        </w:rPr>
        <w:t xml:space="preserve"> звичайного (</w:t>
      </w:r>
      <w:r>
        <w:rPr>
          <w:b/>
          <w:bCs/>
          <w:sz w:val="28"/>
          <w:szCs w:val="28"/>
          <w:lang w:val="uk-UA"/>
        </w:rPr>
        <w:t>С</w:t>
      </w:r>
      <w:proofErr w:type="spellStart"/>
      <w:r w:rsidRPr="00080728">
        <w:rPr>
          <w:b/>
          <w:bCs/>
          <w:sz w:val="28"/>
          <w:szCs w:val="28"/>
          <w:lang w:val="en-US"/>
        </w:rPr>
        <w:t>entaurium</w:t>
      </w:r>
      <w:proofErr w:type="spellEnd"/>
      <w:r w:rsidRPr="0008072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80728">
        <w:rPr>
          <w:b/>
          <w:bCs/>
          <w:sz w:val="28"/>
          <w:szCs w:val="28"/>
          <w:lang w:val="en-US"/>
        </w:rPr>
        <w:t>erythraea</w:t>
      </w:r>
      <w:proofErr w:type="spellEnd"/>
      <w:r w:rsidRPr="00080728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R</w:t>
      </w:r>
      <w:r w:rsidRPr="00080728">
        <w:rPr>
          <w:b/>
          <w:bCs/>
          <w:sz w:val="28"/>
          <w:szCs w:val="28"/>
          <w:lang w:val="en-US"/>
        </w:rPr>
        <w:t>raf</w:t>
      </w:r>
      <w:proofErr w:type="spellEnd"/>
      <w:r w:rsidRPr="00080728">
        <w:rPr>
          <w:b/>
          <w:bCs/>
          <w:sz w:val="28"/>
          <w:szCs w:val="28"/>
          <w:lang w:val="uk-UA"/>
        </w:rPr>
        <w:t xml:space="preserve">.) в умовах </w:t>
      </w:r>
      <w:r>
        <w:rPr>
          <w:b/>
          <w:bCs/>
          <w:sz w:val="28"/>
          <w:szCs w:val="28"/>
          <w:lang w:val="uk-UA"/>
        </w:rPr>
        <w:t>З</w:t>
      </w:r>
      <w:r w:rsidRPr="00080728">
        <w:rPr>
          <w:b/>
          <w:bCs/>
          <w:sz w:val="28"/>
          <w:szCs w:val="28"/>
          <w:lang w:val="uk-UA"/>
        </w:rPr>
        <w:t>акарпаття</w:t>
      </w:r>
    </w:p>
    <w:p w:rsidR="00973BEA" w:rsidRDefault="00973BEA" w:rsidP="00973BEA">
      <w:pPr>
        <w:jc w:val="center"/>
        <w:rPr>
          <w:b/>
          <w:iCs/>
          <w:lang w:val="en-US"/>
        </w:rPr>
      </w:pPr>
    </w:p>
    <w:p w:rsidR="00B47659" w:rsidRPr="00A5082C" w:rsidRDefault="009B5BDD" w:rsidP="00973BEA">
      <w:pPr>
        <w:jc w:val="center"/>
        <w:rPr>
          <w:b/>
          <w:iCs/>
          <w:lang w:val="en-US"/>
        </w:rPr>
      </w:pPr>
      <w:proofErr w:type="spellStart"/>
      <w:r>
        <w:rPr>
          <w:b/>
          <w:iCs/>
          <w:lang w:val="uk-UA"/>
        </w:rPr>
        <w:t>Фекета</w:t>
      </w:r>
      <w:proofErr w:type="spellEnd"/>
      <w:r w:rsidRPr="009B5BDD">
        <w:rPr>
          <w:b/>
          <w:iCs/>
          <w:lang w:val="uk-UA"/>
        </w:rPr>
        <w:t xml:space="preserve"> </w:t>
      </w:r>
      <w:r>
        <w:rPr>
          <w:b/>
          <w:iCs/>
          <w:lang w:val="uk-UA"/>
        </w:rPr>
        <w:t>І.Ю.</w:t>
      </w:r>
      <w:r w:rsidR="00A5082C">
        <w:rPr>
          <w:b/>
          <w:iCs/>
          <w:lang w:val="uk-UA"/>
        </w:rPr>
        <w:t xml:space="preserve">, </w:t>
      </w:r>
      <w:proofErr w:type="spellStart"/>
      <w:r w:rsidR="00A5082C">
        <w:rPr>
          <w:b/>
          <w:iCs/>
          <w:lang w:val="uk-UA"/>
        </w:rPr>
        <w:t>Фекета</w:t>
      </w:r>
      <w:proofErr w:type="spellEnd"/>
      <w:r w:rsidR="00A5082C">
        <w:rPr>
          <w:b/>
          <w:iCs/>
          <w:lang w:val="uk-UA"/>
        </w:rPr>
        <w:t xml:space="preserve"> І.М.</w:t>
      </w:r>
    </w:p>
    <w:p w:rsidR="00B47659" w:rsidRPr="009B5BDD" w:rsidRDefault="00B47659" w:rsidP="00973BEA">
      <w:pPr>
        <w:jc w:val="center"/>
        <w:rPr>
          <w:i/>
          <w:iCs/>
          <w:sz w:val="20"/>
          <w:szCs w:val="20"/>
        </w:rPr>
      </w:pPr>
      <w:r w:rsidRPr="00114882">
        <w:rPr>
          <w:i/>
          <w:iCs/>
          <w:sz w:val="20"/>
          <w:szCs w:val="20"/>
          <w:lang w:val="uk-UA"/>
        </w:rPr>
        <w:t>Ужгородський національний університет, м. Ужгород</w:t>
      </w:r>
    </w:p>
    <w:p w:rsidR="009B5BDD" w:rsidRPr="009B5BDD" w:rsidRDefault="009B5BDD" w:rsidP="00973BE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1451E0" w:rsidRPr="001451E0" w:rsidRDefault="001451E0" w:rsidP="00B406AF">
      <w:pPr>
        <w:ind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en-US"/>
        </w:rPr>
        <w:t xml:space="preserve">he </w:t>
      </w:r>
      <w:r w:rsidRPr="001451E0">
        <w:rPr>
          <w:b/>
          <w:sz w:val="28"/>
          <w:szCs w:val="28"/>
          <w:lang w:val="en-US"/>
        </w:rPr>
        <w:t xml:space="preserve">natural populations </w:t>
      </w:r>
      <w:proofErr w:type="spellStart"/>
      <w:r w:rsidRPr="001451E0">
        <w:rPr>
          <w:b/>
          <w:sz w:val="28"/>
          <w:szCs w:val="28"/>
          <w:lang w:val="en-US"/>
        </w:rPr>
        <w:t>Centaurium</w:t>
      </w:r>
      <w:proofErr w:type="spellEnd"/>
      <w:r w:rsidRPr="001451E0">
        <w:rPr>
          <w:b/>
          <w:sz w:val="28"/>
          <w:szCs w:val="28"/>
          <w:lang w:val="en-US"/>
        </w:rPr>
        <w:t xml:space="preserve"> </w:t>
      </w:r>
      <w:proofErr w:type="spellStart"/>
      <w:r w:rsidRPr="001451E0">
        <w:rPr>
          <w:b/>
          <w:sz w:val="28"/>
          <w:szCs w:val="28"/>
          <w:lang w:val="en-US"/>
        </w:rPr>
        <w:t>erythraea</w:t>
      </w:r>
      <w:proofErr w:type="spellEnd"/>
      <w:r w:rsidRPr="001451E0">
        <w:rPr>
          <w:b/>
          <w:sz w:val="28"/>
          <w:szCs w:val="28"/>
          <w:lang w:val="en-US"/>
        </w:rPr>
        <w:t xml:space="preserve"> in conditions of </w:t>
      </w:r>
      <w:proofErr w:type="spellStart"/>
      <w:r w:rsidRPr="001451E0">
        <w:rPr>
          <w:b/>
          <w:sz w:val="28"/>
          <w:szCs w:val="28"/>
          <w:lang w:val="en-US"/>
        </w:rPr>
        <w:t>Transcarpathia</w:t>
      </w:r>
      <w:proofErr w:type="spellEnd"/>
    </w:p>
    <w:p w:rsidR="00973BEA" w:rsidRDefault="00973BEA" w:rsidP="00973BEA">
      <w:pPr>
        <w:jc w:val="center"/>
        <w:rPr>
          <w:bCs/>
          <w:lang w:val="en-US"/>
        </w:rPr>
      </w:pPr>
    </w:p>
    <w:p w:rsidR="00A5082C" w:rsidRPr="00A5082C" w:rsidRDefault="009B5BDD" w:rsidP="00A5082C">
      <w:pPr>
        <w:jc w:val="center"/>
        <w:rPr>
          <w:b/>
          <w:bCs/>
          <w:vertAlign w:val="superscript"/>
          <w:lang w:val="uk-UA"/>
        </w:rPr>
      </w:pPr>
      <w:proofErr w:type="spellStart"/>
      <w:r w:rsidRPr="00973BEA">
        <w:rPr>
          <w:b/>
          <w:bCs/>
          <w:lang w:val="en-US"/>
        </w:rPr>
        <w:t>Feketa</w:t>
      </w:r>
      <w:proofErr w:type="spellEnd"/>
      <w:r w:rsidRPr="00973BEA">
        <w:rPr>
          <w:b/>
          <w:bCs/>
          <w:lang w:val="en-US"/>
        </w:rPr>
        <w:t xml:space="preserve"> I.Y.</w:t>
      </w:r>
      <w:r w:rsidR="00A5082C">
        <w:rPr>
          <w:b/>
          <w:bCs/>
          <w:lang w:val="uk-UA"/>
        </w:rPr>
        <w:t xml:space="preserve">, </w:t>
      </w:r>
      <w:proofErr w:type="spellStart"/>
      <w:r w:rsidR="00A5082C" w:rsidRPr="00973BEA">
        <w:rPr>
          <w:b/>
          <w:bCs/>
          <w:lang w:val="en-US"/>
        </w:rPr>
        <w:t>Feketa</w:t>
      </w:r>
      <w:proofErr w:type="spellEnd"/>
      <w:r w:rsidR="00A5082C" w:rsidRPr="00973BEA">
        <w:rPr>
          <w:b/>
          <w:bCs/>
          <w:lang w:val="en-US"/>
        </w:rPr>
        <w:t xml:space="preserve"> I.</w:t>
      </w:r>
      <w:r w:rsidR="00A5082C">
        <w:rPr>
          <w:b/>
          <w:bCs/>
          <w:lang w:val="en-US"/>
        </w:rPr>
        <w:t>M.</w:t>
      </w:r>
      <w:r w:rsidR="00A5082C">
        <w:rPr>
          <w:b/>
          <w:bCs/>
          <w:lang w:val="uk-UA"/>
        </w:rPr>
        <w:t xml:space="preserve"> </w:t>
      </w:r>
    </w:p>
    <w:p w:rsidR="009B5BDD" w:rsidRPr="00B5188B" w:rsidRDefault="009B5BDD" w:rsidP="00973BEA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188B">
        <w:rPr>
          <w:rFonts w:ascii="Times New Roman" w:eastAsia="Calibri" w:hAnsi="Times New Roman" w:cs="Times New Roman"/>
          <w:sz w:val="24"/>
          <w:szCs w:val="24"/>
        </w:rPr>
        <w:t>Uzhhorod</w:t>
      </w:r>
      <w:proofErr w:type="spellEnd"/>
      <w:r w:rsidRPr="00B5188B">
        <w:rPr>
          <w:rFonts w:ascii="Times New Roman" w:eastAsia="Calibri" w:hAnsi="Times New Roman" w:cs="Times New Roman"/>
          <w:sz w:val="24"/>
          <w:szCs w:val="24"/>
        </w:rPr>
        <w:t xml:space="preserve"> National University, </w:t>
      </w:r>
      <w:proofErr w:type="spellStart"/>
      <w:r w:rsidRPr="00B5188B">
        <w:rPr>
          <w:rFonts w:ascii="Times New Roman" w:eastAsia="Calibri" w:hAnsi="Times New Roman" w:cs="Times New Roman"/>
          <w:sz w:val="24"/>
          <w:szCs w:val="24"/>
        </w:rPr>
        <w:t>Uzhhorod</w:t>
      </w:r>
      <w:proofErr w:type="spellEnd"/>
      <w:r w:rsidRPr="00B518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Ukraine</w:t>
      </w:r>
    </w:p>
    <w:p w:rsidR="009B5BDD" w:rsidRPr="009B5BDD" w:rsidRDefault="009B5BDD" w:rsidP="00973BEA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lang w:val="en-US" w:eastAsia="en-US"/>
        </w:rPr>
      </w:pPr>
    </w:p>
    <w:p w:rsidR="009B5BDD" w:rsidRPr="000A61DE" w:rsidRDefault="009B5BDD" w:rsidP="00973B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lang w:val="en-US"/>
        </w:rPr>
      </w:pPr>
      <w:r w:rsidRPr="000A61DE">
        <w:rPr>
          <w:b/>
          <w:lang w:val="en-US"/>
        </w:rPr>
        <w:t>Abstract</w:t>
      </w:r>
    </w:p>
    <w:p w:rsidR="001451E0" w:rsidRPr="000A61DE" w:rsidRDefault="001451E0" w:rsidP="00973B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0A61DE">
        <w:rPr>
          <w:sz w:val="20"/>
          <w:szCs w:val="20"/>
          <w:lang w:val="en-US"/>
        </w:rPr>
        <w:t xml:space="preserve">The results of researches </w:t>
      </w:r>
      <w:proofErr w:type="spellStart"/>
      <w:r w:rsidRPr="000A61DE">
        <w:rPr>
          <w:sz w:val="20"/>
          <w:szCs w:val="20"/>
          <w:lang w:val="en-US"/>
        </w:rPr>
        <w:t>morphometrics</w:t>
      </w:r>
      <w:proofErr w:type="spellEnd"/>
      <w:r w:rsidRPr="000A61DE">
        <w:rPr>
          <w:sz w:val="20"/>
          <w:szCs w:val="20"/>
          <w:lang w:val="en-US"/>
        </w:rPr>
        <w:t xml:space="preserve"> parameters and crop seed of plants of natural populations </w:t>
      </w:r>
      <w:proofErr w:type="spellStart"/>
      <w:r w:rsidRPr="000A61DE">
        <w:rPr>
          <w:sz w:val="20"/>
          <w:szCs w:val="20"/>
          <w:lang w:val="en-US"/>
        </w:rPr>
        <w:t>Centaurium</w:t>
      </w:r>
      <w:proofErr w:type="spellEnd"/>
      <w:r w:rsidRPr="000A61DE">
        <w:rPr>
          <w:sz w:val="20"/>
          <w:szCs w:val="20"/>
          <w:lang w:val="en-US"/>
        </w:rPr>
        <w:t xml:space="preserve"> </w:t>
      </w:r>
      <w:proofErr w:type="spellStart"/>
      <w:r w:rsidRPr="000A61DE">
        <w:rPr>
          <w:sz w:val="20"/>
          <w:szCs w:val="20"/>
          <w:lang w:val="en-US"/>
        </w:rPr>
        <w:t>erythraea</w:t>
      </w:r>
      <w:proofErr w:type="spellEnd"/>
      <w:r w:rsidRPr="000A61DE">
        <w:rPr>
          <w:sz w:val="20"/>
          <w:szCs w:val="20"/>
          <w:lang w:val="en-US"/>
        </w:rPr>
        <w:t xml:space="preserve"> are given. Is offered seedlings a way of cultivation of plants with simultaneous obscure and </w:t>
      </w:r>
      <w:proofErr w:type="gramStart"/>
      <w:r w:rsidRPr="000A61DE">
        <w:rPr>
          <w:sz w:val="20"/>
          <w:szCs w:val="20"/>
          <w:lang w:val="en-US"/>
        </w:rPr>
        <w:t>watering, that</w:t>
      </w:r>
      <w:proofErr w:type="gramEnd"/>
      <w:r w:rsidRPr="000A61DE">
        <w:rPr>
          <w:sz w:val="20"/>
          <w:szCs w:val="20"/>
          <w:lang w:val="en-US"/>
        </w:rPr>
        <w:t xml:space="preserve"> promotes restoration of their number naturally of </w:t>
      </w:r>
      <w:proofErr w:type="spellStart"/>
      <w:r w:rsidRPr="000A61DE">
        <w:rPr>
          <w:sz w:val="20"/>
          <w:szCs w:val="20"/>
          <w:lang w:val="en-US"/>
        </w:rPr>
        <w:t>Transcarpathia</w:t>
      </w:r>
      <w:proofErr w:type="spellEnd"/>
      <w:r w:rsidRPr="000A61DE">
        <w:rPr>
          <w:sz w:val="20"/>
          <w:szCs w:val="20"/>
          <w:lang w:val="en-US"/>
        </w:rPr>
        <w:t xml:space="preserve">. </w:t>
      </w:r>
    </w:p>
    <w:p w:rsidR="001451E0" w:rsidRPr="000A61DE" w:rsidRDefault="000A61DE" w:rsidP="00973B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973BEA">
        <w:rPr>
          <w:b/>
          <w:sz w:val="20"/>
          <w:szCs w:val="20"/>
          <w:lang w:val="en-US"/>
        </w:rPr>
        <w:t>Keywords</w:t>
      </w:r>
      <w:r w:rsidR="00D6219F">
        <w:rPr>
          <w:b/>
          <w:sz w:val="20"/>
          <w:szCs w:val="20"/>
          <w:lang w:val="uk-UA"/>
        </w:rPr>
        <w:t xml:space="preserve">: </w:t>
      </w:r>
      <w:r w:rsidRPr="000A61DE">
        <w:rPr>
          <w:sz w:val="20"/>
          <w:szCs w:val="20"/>
          <w:lang w:val="en-US"/>
        </w:rPr>
        <w:t xml:space="preserve"> </w:t>
      </w:r>
      <w:proofErr w:type="spellStart"/>
      <w:r w:rsidR="001451E0" w:rsidRPr="000A61DE">
        <w:rPr>
          <w:sz w:val="20"/>
          <w:szCs w:val="20"/>
          <w:lang w:val="en-US"/>
        </w:rPr>
        <w:t>Centaurium</w:t>
      </w:r>
      <w:proofErr w:type="spellEnd"/>
      <w:r w:rsidR="001451E0" w:rsidRPr="000A61DE">
        <w:rPr>
          <w:sz w:val="20"/>
          <w:szCs w:val="20"/>
          <w:lang w:val="en-US"/>
        </w:rPr>
        <w:t xml:space="preserve"> </w:t>
      </w:r>
      <w:proofErr w:type="spellStart"/>
      <w:r w:rsidR="001451E0" w:rsidRPr="000A61DE">
        <w:rPr>
          <w:sz w:val="20"/>
          <w:szCs w:val="20"/>
          <w:lang w:val="en-US"/>
        </w:rPr>
        <w:t>erythraea</w:t>
      </w:r>
      <w:proofErr w:type="spellEnd"/>
      <w:r w:rsidR="001451E0" w:rsidRPr="000A61DE">
        <w:rPr>
          <w:sz w:val="20"/>
          <w:szCs w:val="20"/>
          <w:lang w:val="en-US"/>
        </w:rPr>
        <w:t xml:space="preserve">, natural populations, </w:t>
      </w:r>
      <w:proofErr w:type="spellStart"/>
      <w:r w:rsidR="001451E0" w:rsidRPr="000A61DE">
        <w:rPr>
          <w:sz w:val="20"/>
          <w:szCs w:val="20"/>
          <w:lang w:val="en-US"/>
        </w:rPr>
        <w:t>morphometrics</w:t>
      </w:r>
      <w:proofErr w:type="spellEnd"/>
      <w:r w:rsidR="001451E0" w:rsidRPr="000A61DE">
        <w:rPr>
          <w:sz w:val="20"/>
          <w:szCs w:val="20"/>
          <w:lang w:val="en-US"/>
        </w:rPr>
        <w:t xml:space="preserve"> parameters, condition of cultivation</w:t>
      </w:r>
    </w:p>
    <w:p w:rsidR="00B406AF" w:rsidRDefault="00B406AF" w:rsidP="00EF28D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lang w:val="en-US"/>
        </w:rPr>
      </w:pPr>
    </w:p>
    <w:p w:rsidR="00B47659" w:rsidRPr="00973BEA" w:rsidRDefault="00D6219F" w:rsidP="00EF28D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6219F">
        <w:rPr>
          <w:b/>
          <w:lang w:val="uk-UA"/>
        </w:rPr>
        <w:t>Вступ.</w:t>
      </w:r>
      <w:r>
        <w:rPr>
          <w:lang w:val="uk-UA"/>
        </w:rPr>
        <w:t xml:space="preserve"> </w:t>
      </w:r>
      <w:r w:rsidR="00B47659" w:rsidRPr="00973BEA">
        <w:rPr>
          <w:lang w:val="uk-UA"/>
        </w:rPr>
        <w:t>Природна рослинність Закарпатської області займає понад 50 % її території, а у деяких гірських районах досягає 85 % [</w:t>
      </w:r>
      <w:proofErr w:type="spellStart"/>
      <w:r w:rsidR="00C12D46">
        <w:rPr>
          <w:lang w:val="uk-UA"/>
        </w:rPr>
        <w:t>Косець</w:t>
      </w:r>
      <w:proofErr w:type="spellEnd"/>
      <w:r w:rsidR="00C12D46">
        <w:rPr>
          <w:lang w:val="uk-UA"/>
        </w:rPr>
        <w:t xml:space="preserve"> М.І., 1954</w:t>
      </w:r>
      <w:r w:rsidR="00B47659" w:rsidRPr="00973BEA">
        <w:rPr>
          <w:lang w:val="uk-UA"/>
        </w:rPr>
        <w:t xml:space="preserve">]. </w:t>
      </w:r>
      <w:r w:rsidR="00B47659" w:rsidRPr="00973BEA">
        <w:rPr>
          <w:color w:val="000000"/>
          <w:spacing w:val="2"/>
          <w:lang w:val="uk-UA"/>
        </w:rPr>
        <w:t xml:space="preserve">В нинішніх </w:t>
      </w:r>
      <w:r w:rsidR="00B47659" w:rsidRPr="00973BEA">
        <w:rPr>
          <w:color w:val="000000"/>
          <w:spacing w:val="-1"/>
          <w:lang w:val="uk-UA"/>
        </w:rPr>
        <w:t xml:space="preserve"> умовах зростаючого техногенного на</w:t>
      </w:r>
      <w:r w:rsidR="00B47659" w:rsidRPr="00973BEA">
        <w:rPr>
          <w:color w:val="000000"/>
          <w:lang w:val="uk-UA"/>
        </w:rPr>
        <w:t xml:space="preserve">вантаження на природу відбулось суттєве </w:t>
      </w:r>
      <w:r w:rsidR="00B47659" w:rsidRPr="00973BEA">
        <w:rPr>
          <w:color w:val="000000"/>
          <w:spacing w:val="-2"/>
          <w:lang w:val="uk-UA"/>
        </w:rPr>
        <w:t xml:space="preserve">збіднення </w:t>
      </w:r>
      <w:proofErr w:type="spellStart"/>
      <w:r w:rsidR="00B47659" w:rsidRPr="00973BEA">
        <w:rPr>
          <w:color w:val="000000"/>
          <w:spacing w:val="3"/>
          <w:lang w:val="uk-UA"/>
        </w:rPr>
        <w:t>біорізноманіття</w:t>
      </w:r>
      <w:proofErr w:type="spellEnd"/>
      <w:r w:rsidR="00B47659" w:rsidRPr="00973BEA">
        <w:rPr>
          <w:color w:val="000000"/>
          <w:spacing w:val="-2"/>
          <w:lang w:val="uk-UA"/>
        </w:rPr>
        <w:t xml:space="preserve"> і </w:t>
      </w:r>
      <w:r w:rsidR="00B47659" w:rsidRPr="00973BEA">
        <w:rPr>
          <w:color w:val="000000"/>
          <w:spacing w:val="-3"/>
          <w:lang w:val="uk-UA"/>
        </w:rPr>
        <w:t xml:space="preserve">порушення екологічного балансу в </w:t>
      </w:r>
      <w:r w:rsidR="00B47659" w:rsidRPr="00973BEA">
        <w:rPr>
          <w:color w:val="000000"/>
          <w:spacing w:val="-1"/>
          <w:lang w:val="uk-UA"/>
        </w:rPr>
        <w:t xml:space="preserve">довкіллі </w:t>
      </w:r>
      <w:r w:rsidR="00B47659" w:rsidRPr="00973BEA">
        <w:rPr>
          <w:lang w:val="uk-UA"/>
        </w:rPr>
        <w:t>[</w:t>
      </w:r>
      <w:proofErr w:type="spellStart"/>
      <w:r w:rsidR="00C12D46">
        <w:rPr>
          <w:color w:val="000000"/>
          <w:lang w:val="uk-UA"/>
        </w:rPr>
        <w:t>Манівчук</w:t>
      </w:r>
      <w:proofErr w:type="spellEnd"/>
      <w:r w:rsidR="00C12D46">
        <w:rPr>
          <w:color w:val="000000"/>
          <w:lang w:val="uk-UA"/>
        </w:rPr>
        <w:t xml:space="preserve"> Ю.В., 2003</w:t>
      </w:r>
      <w:r w:rsidR="00B47659" w:rsidRPr="00973BEA">
        <w:rPr>
          <w:lang w:val="uk-UA"/>
        </w:rPr>
        <w:t xml:space="preserve">]. </w:t>
      </w:r>
      <w:r w:rsidR="00B47659" w:rsidRPr="00973BEA">
        <w:rPr>
          <w:color w:val="000000"/>
          <w:lang w:val="uk-UA"/>
        </w:rPr>
        <w:t xml:space="preserve">Зокрема, під впливом господарчої діяльності людини зафіксовано зниження родючості ґрунтів, зміну </w:t>
      </w:r>
      <w:proofErr w:type="spellStart"/>
      <w:r w:rsidR="00B47659" w:rsidRPr="00973BEA">
        <w:rPr>
          <w:color w:val="000000"/>
          <w:lang w:val="uk-UA"/>
        </w:rPr>
        <w:t>мітлицевих</w:t>
      </w:r>
      <w:proofErr w:type="spellEnd"/>
      <w:r w:rsidR="00B47659" w:rsidRPr="00973BEA">
        <w:rPr>
          <w:color w:val="000000"/>
          <w:lang w:val="uk-UA"/>
        </w:rPr>
        <w:t xml:space="preserve"> луків на </w:t>
      </w:r>
      <w:proofErr w:type="spellStart"/>
      <w:r w:rsidR="00B47659" w:rsidRPr="00973BEA">
        <w:rPr>
          <w:color w:val="000000"/>
          <w:lang w:val="uk-UA"/>
        </w:rPr>
        <w:t>кострицеві</w:t>
      </w:r>
      <w:proofErr w:type="spellEnd"/>
      <w:r w:rsidR="00B47659" w:rsidRPr="00973BEA">
        <w:rPr>
          <w:color w:val="000000"/>
          <w:lang w:val="uk-UA"/>
        </w:rPr>
        <w:t xml:space="preserve">, які поступово деградують до </w:t>
      </w:r>
      <w:proofErr w:type="spellStart"/>
      <w:r w:rsidR="00B47659" w:rsidRPr="00973BEA">
        <w:rPr>
          <w:color w:val="000000"/>
          <w:lang w:val="uk-UA"/>
        </w:rPr>
        <w:t>біловусових</w:t>
      </w:r>
      <w:proofErr w:type="spellEnd"/>
      <w:r w:rsidR="00B47659" w:rsidRPr="00973BEA">
        <w:rPr>
          <w:color w:val="000000"/>
          <w:lang w:val="uk-UA"/>
        </w:rPr>
        <w:t xml:space="preserve"> як найменш продуктивних та збіднених за видовим складом </w:t>
      </w:r>
      <w:r w:rsidR="00B47659" w:rsidRPr="00973BEA">
        <w:rPr>
          <w:lang w:val="uk-UA"/>
        </w:rPr>
        <w:t>[</w:t>
      </w:r>
      <w:proofErr w:type="spellStart"/>
      <w:r w:rsidR="00C12D46">
        <w:rPr>
          <w:color w:val="000000"/>
          <w:lang w:val="uk-UA"/>
        </w:rPr>
        <w:t>Крись</w:t>
      </w:r>
      <w:proofErr w:type="spellEnd"/>
      <w:r w:rsidR="00C12D46">
        <w:rPr>
          <w:color w:val="000000"/>
          <w:lang w:val="uk-UA"/>
        </w:rPr>
        <w:t xml:space="preserve"> О.П., 1994</w:t>
      </w:r>
      <w:r w:rsidR="00B47659" w:rsidRPr="00973BEA">
        <w:rPr>
          <w:lang w:val="uk-UA"/>
        </w:rPr>
        <w:t xml:space="preserve">]. Обмежені також природні ресурси значної кількості видів цінних лікарських рослин, які потрібно культивувати. Суттєво зростає попит на рослини </w:t>
      </w:r>
      <w:proofErr w:type="spellStart"/>
      <w:r w:rsidR="00B47659" w:rsidRPr="00973BEA">
        <w:rPr>
          <w:lang w:val="uk-UA"/>
        </w:rPr>
        <w:t>золототисячника</w:t>
      </w:r>
      <w:proofErr w:type="spellEnd"/>
      <w:r w:rsidR="00B47659" w:rsidRPr="00973BEA">
        <w:rPr>
          <w:lang w:val="uk-UA"/>
        </w:rPr>
        <w:t xml:space="preserve"> звичайного (</w:t>
      </w:r>
      <w:r w:rsidR="00B47659" w:rsidRPr="004B7019">
        <w:rPr>
          <w:i/>
          <w:lang w:val="en-US"/>
        </w:rPr>
        <w:t>C</w:t>
      </w:r>
      <w:r w:rsidR="00B47659" w:rsidRPr="004B7019">
        <w:rPr>
          <w:i/>
          <w:lang w:val="uk-UA"/>
        </w:rPr>
        <w:t>е</w:t>
      </w:r>
      <w:proofErr w:type="spellStart"/>
      <w:r w:rsidR="00B47659" w:rsidRPr="004B7019">
        <w:rPr>
          <w:i/>
          <w:lang w:val="en-US"/>
        </w:rPr>
        <w:t>ntaurium</w:t>
      </w:r>
      <w:proofErr w:type="spellEnd"/>
      <w:r w:rsidR="00B47659" w:rsidRPr="004B7019">
        <w:rPr>
          <w:i/>
          <w:lang w:val="uk-UA"/>
        </w:rPr>
        <w:t xml:space="preserve"> </w:t>
      </w:r>
      <w:proofErr w:type="spellStart"/>
      <w:r w:rsidR="00B47659" w:rsidRPr="004B7019">
        <w:rPr>
          <w:i/>
          <w:lang w:val="en-US"/>
        </w:rPr>
        <w:t>erythraea</w:t>
      </w:r>
      <w:proofErr w:type="spellEnd"/>
      <w:r w:rsidR="00B47659" w:rsidRPr="004B7019">
        <w:rPr>
          <w:i/>
          <w:lang w:val="uk-UA"/>
        </w:rPr>
        <w:t xml:space="preserve"> </w:t>
      </w:r>
      <w:proofErr w:type="spellStart"/>
      <w:r w:rsidR="00B47659" w:rsidRPr="004B7019">
        <w:rPr>
          <w:i/>
          <w:lang w:val="en-US"/>
        </w:rPr>
        <w:t>Raf</w:t>
      </w:r>
      <w:proofErr w:type="spellEnd"/>
      <w:r w:rsidR="00B47659" w:rsidRPr="004B7019">
        <w:rPr>
          <w:i/>
          <w:lang w:val="uk-UA"/>
        </w:rPr>
        <w:t>. (</w:t>
      </w:r>
      <w:r w:rsidR="00B47659" w:rsidRPr="004B7019">
        <w:rPr>
          <w:i/>
          <w:lang w:val="en-US"/>
        </w:rPr>
        <w:t>C</w:t>
      </w:r>
      <w:r w:rsidR="00B47659" w:rsidRPr="004B7019">
        <w:rPr>
          <w:i/>
          <w:lang w:val="uk-UA"/>
        </w:rPr>
        <w:t xml:space="preserve">. </w:t>
      </w:r>
      <w:proofErr w:type="spellStart"/>
      <w:proofErr w:type="gramStart"/>
      <w:r w:rsidR="00B47659" w:rsidRPr="004B7019">
        <w:rPr>
          <w:i/>
          <w:lang w:val="en-US"/>
        </w:rPr>
        <w:t>unbellatum</w:t>
      </w:r>
      <w:proofErr w:type="spellEnd"/>
      <w:proofErr w:type="gramEnd"/>
      <w:r w:rsidR="00B47659" w:rsidRPr="004B7019">
        <w:rPr>
          <w:i/>
          <w:lang w:val="uk-UA"/>
        </w:rPr>
        <w:t xml:space="preserve"> </w:t>
      </w:r>
      <w:proofErr w:type="spellStart"/>
      <w:r w:rsidR="00B47659" w:rsidRPr="004B7019">
        <w:rPr>
          <w:i/>
          <w:lang w:val="en-US"/>
        </w:rPr>
        <w:t>Gilib</w:t>
      </w:r>
      <w:proofErr w:type="spellEnd"/>
      <w:r w:rsidR="00B47659" w:rsidRPr="004B7019">
        <w:rPr>
          <w:i/>
          <w:lang w:val="uk-UA"/>
        </w:rPr>
        <w:t xml:space="preserve">., </w:t>
      </w:r>
      <w:r w:rsidR="00B47659" w:rsidRPr="004B7019">
        <w:rPr>
          <w:i/>
          <w:lang w:val="en-US"/>
        </w:rPr>
        <w:t>C</w:t>
      </w:r>
      <w:r w:rsidR="00B47659" w:rsidRPr="004B7019">
        <w:rPr>
          <w:i/>
          <w:lang w:val="uk-UA"/>
        </w:rPr>
        <w:t xml:space="preserve">. </w:t>
      </w:r>
      <w:r w:rsidR="00B47659" w:rsidRPr="004B7019">
        <w:rPr>
          <w:i/>
          <w:lang w:val="en-US"/>
        </w:rPr>
        <w:t>minus</w:t>
      </w:r>
      <w:r w:rsidR="00B47659" w:rsidRPr="004B7019">
        <w:rPr>
          <w:i/>
          <w:lang w:val="uk-UA"/>
        </w:rPr>
        <w:t xml:space="preserve"> </w:t>
      </w:r>
      <w:proofErr w:type="spellStart"/>
      <w:r w:rsidR="00B47659" w:rsidRPr="004B7019">
        <w:rPr>
          <w:i/>
          <w:lang w:val="en-US"/>
        </w:rPr>
        <w:t>Moenus</w:t>
      </w:r>
      <w:proofErr w:type="spellEnd"/>
      <w:r w:rsidR="00B47659" w:rsidRPr="004B7019">
        <w:rPr>
          <w:i/>
          <w:lang w:val="uk-UA"/>
        </w:rPr>
        <w:t xml:space="preserve"> </w:t>
      </w:r>
      <w:r w:rsidR="00B47659" w:rsidRPr="004B7019">
        <w:rPr>
          <w:i/>
          <w:lang w:val="en-US"/>
        </w:rPr>
        <w:t>p</w:t>
      </w:r>
      <w:r w:rsidR="00B47659" w:rsidRPr="00973BEA">
        <w:rPr>
          <w:lang w:val="uk-UA"/>
        </w:rPr>
        <w:t>.), який перспективний для інтродукції [</w:t>
      </w:r>
      <w:r w:rsidR="00C12D46" w:rsidRPr="00C12D46">
        <w:rPr>
          <w:lang w:val="uk-UA"/>
        </w:rPr>
        <w:t xml:space="preserve">Атлас </w:t>
      </w:r>
      <w:proofErr w:type="spellStart"/>
      <w:r w:rsidR="00C12D46" w:rsidRPr="00C12D46">
        <w:rPr>
          <w:lang w:val="uk-UA"/>
        </w:rPr>
        <w:t>ареалов</w:t>
      </w:r>
      <w:proofErr w:type="spellEnd"/>
      <w:r w:rsidR="00C12D46">
        <w:rPr>
          <w:lang w:val="uk-UA"/>
        </w:rPr>
        <w:t>…,</w:t>
      </w:r>
      <w:r w:rsidR="00C12D46" w:rsidRPr="00C12D46">
        <w:rPr>
          <w:lang w:val="uk-UA"/>
        </w:rPr>
        <w:t xml:space="preserve"> 1980</w:t>
      </w:r>
      <w:r w:rsidR="00C12D46">
        <w:rPr>
          <w:lang w:val="uk-UA"/>
        </w:rPr>
        <w:t>; Деркач В.О., Деркач С.І., 2006</w:t>
      </w:r>
      <w:r w:rsidR="00C12D46">
        <w:rPr>
          <w:color w:val="000000"/>
          <w:lang w:val="uk-UA"/>
        </w:rPr>
        <w:t xml:space="preserve">; </w:t>
      </w:r>
      <w:r w:rsidR="00C12D46" w:rsidRPr="00C12D46">
        <w:rPr>
          <w:lang w:val="uk-UA"/>
        </w:rPr>
        <w:t xml:space="preserve"> </w:t>
      </w:r>
      <w:proofErr w:type="spellStart"/>
      <w:r w:rsidR="00C12D46" w:rsidRPr="00C12D46">
        <w:rPr>
          <w:lang w:val="uk-UA"/>
        </w:rPr>
        <w:t>Интродуцированные</w:t>
      </w:r>
      <w:proofErr w:type="spellEnd"/>
      <w:r w:rsidR="00C12D46" w:rsidRPr="00C12D46">
        <w:rPr>
          <w:lang w:val="uk-UA"/>
        </w:rPr>
        <w:t xml:space="preserve"> </w:t>
      </w:r>
      <w:proofErr w:type="spellStart"/>
      <w:r w:rsidR="00C12D46" w:rsidRPr="00C12D46">
        <w:rPr>
          <w:lang w:val="uk-UA"/>
        </w:rPr>
        <w:t>лекарственные</w:t>
      </w:r>
      <w:proofErr w:type="spellEnd"/>
      <w:r w:rsidR="00C12D46" w:rsidRPr="00C12D46">
        <w:rPr>
          <w:lang w:val="uk-UA"/>
        </w:rPr>
        <w:t xml:space="preserve"> </w:t>
      </w:r>
      <w:proofErr w:type="spellStart"/>
      <w:r w:rsidR="00C12D46" w:rsidRPr="00C12D46">
        <w:rPr>
          <w:lang w:val="uk-UA"/>
        </w:rPr>
        <w:t>растения</w:t>
      </w:r>
      <w:proofErr w:type="spellEnd"/>
      <w:r w:rsidR="00C12D46" w:rsidRPr="00C12D46">
        <w:rPr>
          <w:lang w:val="uk-UA"/>
        </w:rPr>
        <w:t>, 1983</w:t>
      </w:r>
      <w:r w:rsidR="00B47659" w:rsidRPr="00973BEA">
        <w:rPr>
          <w:lang w:val="uk-UA"/>
        </w:rPr>
        <w:t>], запаси якого зменшились більш ніж у 10 разів і знаходяться на межі виснаження [</w:t>
      </w:r>
      <w:proofErr w:type="spellStart"/>
      <w:r w:rsidR="00721F4B">
        <w:rPr>
          <w:color w:val="000000"/>
          <w:lang w:val="uk-UA"/>
        </w:rPr>
        <w:t>Манівчук</w:t>
      </w:r>
      <w:proofErr w:type="spellEnd"/>
      <w:r w:rsidR="00721F4B">
        <w:rPr>
          <w:color w:val="000000"/>
          <w:lang w:val="uk-UA"/>
        </w:rPr>
        <w:t xml:space="preserve"> Ю.В., 2003</w:t>
      </w:r>
      <w:r w:rsidR="00B47659" w:rsidRPr="00973BEA">
        <w:rPr>
          <w:lang w:val="uk-UA"/>
        </w:rPr>
        <w:t>].</w:t>
      </w:r>
    </w:p>
    <w:p w:rsidR="00B47659" w:rsidRPr="00973BEA" w:rsidRDefault="00EF28DC" w:rsidP="00EF28D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F28DC">
        <w:rPr>
          <w:b/>
          <w:lang w:val="uk-UA"/>
        </w:rPr>
        <w:lastRenderedPageBreak/>
        <w:t>Матеріали і методи дослідження.</w:t>
      </w:r>
      <w:r>
        <w:rPr>
          <w:lang w:val="uk-UA"/>
        </w:rPr>
        <w:t xml:space="preserve"> </w:t>
      </w:r>
      <w:r w:rsidR="00B47659" w:rsidRPr="00973BEA">
        <w:rPr>
          <w:lang w:val="uk-UA"/>
        </w:rPr>
        <w:t xml:space="preserve">Рід золототисячник звичайний - </w:t>
      </w:r>
      <w:proofErr w:type="spellStart"/>
      <w:r w:rsidR="00B47659" w:rsidRPr="00973BEA">
        <w:rPr>
          <w:lang w:val="uk-UA"/>
        </w:rPr>
        <w:t>одно-</w:t>
      </w:r>
      <w:proofErr w:type="spellEnd"/>
      <w:r w:rsidR="00B47659" w:rsidRPr="00973BEA">
        <w:rPr>
          <w:lang w:val="uk-UA"/>
        </w:rPr>
        <w:t xml:space="preserve"> або двохрічна трав’яниста рослина [</w:t>
      </w:r>
      <w:proofErr w:type="spellStart"/>
      <w:r w:rsidR="00927D89" w:rsidRPr="00927D89">
        <w:rPr>
          <w:lang w:val="uk-UA"/>
        </w:rPr>
        <w:t>Интродуцированные</w:t>
      </w:r>
      <w:proofErr w:type="spellEnd"/>
      <w:r w:rsidR="00927D89" w:rsidRPr="00927D89">
        <w:rPr>
          <w:lang w:val="uk-UA"/>
        </w:rPr>
        <w:t xml:space="preserve"> </w:t>
      </w:r>
      <w:proofErr w:type="spellStart"/>
      <w:r w:rsidR="00927D89" w:rsidRPr="00927D89">
        <w:rPr>
          <w:lang w:val="uk-UA"/>
        </w:rPr>
        <w:t>лекарственные</w:t>
      </w:r>
      <w:proofErr w:type="spellEnd"/>
      <w:r w:rsidR="00927D89" w:rsidRPr="00927D89">
        <w:rPr>
          <w:lang w:val="uk-UA"/>
        </w:rPr>
        <w:t xml:space="preserve"> </w:t>
      </w:r>
      <w:proofErr w:type="spellStart"/>
      <w:r w:rsidR="00927D89" w:rsidRPr="00927D89">
        <w:rPr>
          <w:lang w:val="uk-UA"/>
        </w:rPr>
        <w:t>растения</w:t>
      </w:r>
      <w:proofErr w:type="spellEnd"/>
      <w:r w:rsidR="00927D89" w:rsidRPr="00927D89">
        <w:rPr>
          <w:lang w:val="uk-UA"/>
        </w:rPr>
        <w:t>, 1983</w:t>
      </w:r>
      <w:r w:rsidR="00B47659" w:rsidRPr="00973BEA">
        <w:rPr>
          <w:lang w:val="uk-UA"/>
        </w:rPr>
        <w:t xml:space="preserve">], яка надзвичайно чутлива до антропогенного навантаження, відноситься до родини </w:t>
      </w:r>
      <w:proofErr w:type="spellStart"/>
      <w:r w:rsidR="00B47659" w:rsidRPr="00973BEA">
        <w:rPr>
          <w:lang w:val="uk-UA"/>
        </w:rPr>
        <w:t>Тирличевих</w:t>
      </w:r>
      <w:proofErr w:type="spellEnd"/>
      <w:r w:rsidR="00B47659" w:rsidRPr="00973BEA">
        <w:rPr>
          <w:lang w:val="uk-UA"/>
        </w:rPr>
        <w:t xml:space="preserve"> (</w:t>
      </w:r>
      <w:proofErr w:type="spellStart"/>
      <w:r w:rsidR="00B47659" w:rsidRPr="00203D41">
        <w:rPr>
          <w:i/>
          <w:lang w:val="en-US"/>
        </w:rPr>
        <w:t>Gentianaceae</w:t>
      </w:r>
      <w:proofErr w:type="spellEnd"/>
      <w:r w:rsidR="00B47659" w:rsidRPr="00973BEA">
        <w:rPr>
          <w:lang w:val="uk-UA"/>
        </w:rPr>
        <w:t xml:space="preserve">), містить алкалоїди, гіркі </w:t>
      </w:r>
      <w:proofErr w:type="spellStart"/>
      <w:r w:rsidR="00B47659" w:rsidRPr="00973BEA">
        <w:rPr>
          <w:lang w:val="uk-UA"/>
        </w:rPr>
        <w:t>глікозиди</w:t>
      </w:r>
      <w:proofErr w:type="spellEnd"/>
      <w:r w:rsidR="00B47659" w:rsidRPr="00973BEA">
        <w:rPr>
          <w:lang w:val="uk-UA"/>
        </w:rPr>
        <w:t xml:space="preserve">, </w:t>
      </w:r>
      <w:proofErr w:type="spellStart"/>
      <w:r w:rsidR="00B47659" w:rsidRPr="00973BEA">
        <w:rPr>
          <w:lang w:val="uk-UA"/>
        </w:rPr>
        <w:t>флавоноїди</w:t>
      </w:r>
      <w:proofErr w:type="spellEnd"/>
      <w:r w:rsidR="00B47659" w:rsidRPr="00973BEA">
        <w:rPr>
          <w:lang w:val="uk-UA"/>
        </w:rPr>
        <w:t xml:space="preserve">, </w:t>
      </w:r>
      <w:proofErr w:type="spellStart"/>
      <w:r w:rsidR="00B47659" w:rsidRPr="00973BEA">
        <w:rPr>
          <w:lang w:val="uk-UA"/>
        </w:rPr>
        <w:t>ксантони</w:t>
      </w:r>
      <w:proofErr w:type="spellEnd"/>
      <w:r w:rsidR="00B47659" w:rsidRPr="00973BEA">
        <w:rPr>
          <w:lang w:val="uk-UA"/>
        </w:rPr>
        <w:t xml:space="preserve"> [</w:t>
      </w:r>
      <w:r w:rsidR="00927D89">
        <w:rPr>
          <w:lang w:val="uk-UA"/>
        </w:rPr>
        <w:t>Товстуха Є.С., 1990</w:t>
      </w:r>
      <w:r w:rsidR="00B47659" w:rsidRPr="00973BEA">
        <w:rPr>
          <w:lang w:val="uk-UA"/>
        </w:rPr>
        <w:t xml:space="preserve">]. Рослини застосовуються у медицині для приготування настоїв, відварів і гіркої настойки для поліпшення функціонування діяльності органів травлення, як </w:t>
      </w:r>
      <w:proofErr w:type="spellStart"/>
      <w:r w:rsidR="00B47659" w:rsidRPr="00973BEA">
        <w:rPr>
          <w:lang w:val="uk-UA"/>
        </w:rPr>
        <w:t>зміцнюючий</w:t>
      </w:r>
      <w:proofErr w:type="spellEnd"/>
      <w:r w:rsidR="00B47659" w:rsidRPr="00973BEA">
        <w:rPr>
          <w:lang w:val="uk-UA"/>
        </w:rPr>
        <w:t xml:space="preserve"> засіб. Золототисячник звичайний виявляє </w:t>
      </w:r>
      <w:proofErr w:type="spellStart"/>
      <w:r w:rsidR="00B47659" w:rsidRPr="00973BEA">
        <w:rPr>
          <w:lang w:val="uk-UA"/>
        </w:rPr>
        <w:t>антимутагенну</w:t>
      </w:r>
      <w:proofErr w:type="spellEnd"/>
      <w:r w:rsidR="00B47659" w:rsidRPr="00973BEA">
        <w:rPr>
          <w:lang w:val="uk-UA"/>
        </w:rPr>
        <w:t xml:space="preserve"> та радіопротекторну дію, слугує компонентом лікувальних зборів при цукровому діабеті, гіпертензії, гінекологічних захворюваннях, алкоголізмі, причому побічної дії препаратів на організм не виявлено [</w:t>
      </w:r>
      <w:r w:rsidR="00927D89" w:rsidRPr="000509F4">
        <w:rPr>
          <w:lang w:val="uk-UA"/>
        </w:rPr>
        <w:t xml:space="preserve">Атлас </w:t>
      </w:r>
      <w:proofErr w:type="spellStart"/>
      <w:r w:rsidR="00927D89" w:rsidRPr="000509F4">
        <w:rPr>
          <w:lang w:val="uk-UA"/>
        </w:rPr>
        <w:t>ареалов</w:t>
      </w:r>
      <w:proofErr w:type="spellEnd"/>
      <w:r w:rsidR="00927D89">
        <w:rPr>
          <w:lang w:val="uk-UA"/>
        </w:rPr>
        <w:t>…,</w:t>
      </w:r>
      <w:r w:rsidR="00927D89" w:rsidRPr="000509F4">
        <w:rPr>
          <w:lang w:val="uk-UA"/>
        </w:rPr>
        <w:t xml:space="preserve"> 1980</w:t>
      </w:r>
      <w:r w:rsidR="00927D89">
        <w:rPr>
          <w:lang w:val="uk-UA"/>
        </w:rPr>
        <w:t>; Товстуха Є.С., 1990</w:t>
      </w:r>
      <w:r w:rsidR="00B47659" w:rsidRPr="00973BEA">
        <w:rPr>
          <w:lang w:val="uk-UA"/>
        </w:rPr>
        <w:t xml:space="preserve">]. Показано, що золототисячник звичайний - переважно </w:t>
      </w:r>
      <w:proofErr w:type="spellStart"/>
      <w:r w:rsidR="00B47659" w:rsidRPr="00973BEA">
        <w:rPr>
          <w:lang w:val="uk-UA"/>
        </w:rPr>
        <w:t>середньоазіатсько</w:t>
      </w:r>
      <w:proofErr w:type="spellEnd"/>
      <w:r w:rsidR="00B47659" w:rsidRPr="00973BEA">
        <w:rPr>
          <w:lang w:val="uk-UA"/>
        </w:rPr>
        <w:t xml:space="preserve"> - європейський вид, який зростає на території Західної Європи і України, але найчастіше в Карпатах на луках, лісових галявинах, гірських схилах та біля боліт. Характерним для нього є розсіяний розподіл у рослинному покриві невеликими куртинами [</w:t>
      </w:r>
      <w:proofErr w:type="spellStart"/>
      <w:r w:rsidR="000509F4">
        <w:t>Интродуцированные</w:t>
      </w:r>
      <w:proofErr w:type="spellEnd"/>
      <w:r w:rsidR="000509F4">
        <w:t xml:space="preserve"> лекарственные растения, 1983</w:t>
      </w:r>
      <w:r w:rsidR="00B47659" w:rsidRPr="00973BEA">
        <w:rPr>
          <w:lang w:val="uk-UA"/>
        </w:rPr>
        <w:t>]</w:t>
      </w:r>
      <w:r w:rsidR="00B47659" w:rsidRPr="00973BEA">
        <w:rPr>
          <w:i/>
          <w:iCs/>
          <w:lang w:val="uk-UA"/>
        </w:rPr>
        <w:t>.</w:t>
      </w:r>
    </w:p>
    <w:p w:rsidR="00B47659" w:rsidRPr="00973BEA" w:rsidRDefault="00945E1C" w:rsidP="00945E1C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945E1C">
        <w:rPr>
          <w:rFonts w:eastAsiaTheme="minorHAnsi"/>
          <w:b/>
          <w:bCs/>
          <w:lang w:val="uk-UA" w:eastAsia="en-US"/>
        </w:rPr>
        <w:t>Результати та їх обговорення.</w:t>
      </w:r>
      <w:r>
        <w:rPr>
          <w:rFonts w:ascii="Times New Roman,Bold" w:eastAsiaTheme="minorHAnsi" w:hAnsi="Times New Roman,Bold" w:cs="Times New Roman,Bold"/>
          <w:b/>
          <w:bCs/>
          <w:lang w:val="uk-UA" w:eastAsia="en-US"/>
        </w:rPr>
        <w:t xml:space="preserve"> </w:t>
      </w:r>
      <w:r w:rsidR="00B47659" w:rsidRPr="00973BEA">
        <w:rPr>
          <w:lang w:val="uk-UA"/>
        </w:rPr>
        <w:t xml:space="preserve">Вивчення місцевих природних популяцій </w:t>
      </w:r>
      <w:proofErr w:type="spellStart"/>
      <w:r w:rsidR="00B47659" w:rsidRPr="00973BEA">
        <w:rPr>
          <w:color w:val="000000"/>
          <w:lang w:val="uk-UA"/>
        </w:rPr>
        <w:t>золототисячника</w:t>
      </w:r>
      <w:proofErr w:type="spellEnd"/>
      <w:r w:rsidR="00B47659" w:rsidRPr="00973BEA">
        <w:rPr>
          <w:color w:val="000000"/>
          <w:lang w:val="uk-UA"/>
        </w:rPr>
        <w:t xml:space="preserve"> звичайного (</w:t>
      </w:r>
      <w:proofErr w:type="spellStart"/>
      <w:r w:rsidR="00B47659" w:rsidRPr="00203D41">
        <w:rPr>
          <w:i/>
          <w:color w:val="000000"/>
          <w:lang w:val="en-US"/>
        </w:rPr>
        <w:t>Centaurium</w:t>
      </w:r>
      <w:proofErr w:type="spellEnd"/>
      <w:r w:rsidR="00B47659" w:rsidRPr="00203D41">
        <w:rPr>
          <w:i/>
          <w:color w:val="000000"/>
          <w:lang w:val="uk-UA"/>
        </w:rPr>
        <w:t xml:space="preserve"> </w:t>
      </w:r>
      <w:proofErr w:type="spellStart"/>
      <w:r w:rsidR="00B47659" w:rsidRPr="00203D41">
        <w:rPr>
          <w:i/>
          <w:color w:val="000000"/>
          <w:lang w:val="en-US"/>
        </w:rPr>
        <w:t>erythraea</w:t>
      </w:r>
      <w:proofErr w:type="spellEnd"/>
      <w:r w:rsidR="00B47659" w:rsidRPr="00203D41">
        <w:rPr>
          <w:i/>
          <w:color w:val="000000"/>
          <w:lang w:val="uk-UA"/>
        </w:rPr>
        <w:t xml:space="preserve"> </w:t>
      </w:r>
      <w:proofErr w:type="spellStart"/>
      <w:r w:rsidR="00B47659" w:rsidRPr="00203D41">
        <w:rPr>
          <w:i/>
          <w:color w:val="000000"/>
          <w:lang w:val="en-US"/>
        </w:rPr>
        <w:t>Raf</w:t>
      </w:r>
      <w:proofErr w:type="spellEnd"/>
      <w:r w:rsidR="00B47659" w:rsidRPr="00973BEA">
        <w:rPr>
          <w:color w:val="000000"/>
          <w:lang w:val="uk-UA"/>
        </w:rPr>
        <w:t xml:space="preserve">.) проводили у двох лучних асоціаціях </w:t>
      </w:r>
      <w:r w:rsidR="00B47659" w:rsidRPr="00973BEA">
        <w:rPr>
          <w:lang w:val="uk-UA"/>
        </w:rPr>
        <w:t>Закарпатської області [</w:t>
      </w:r>
      <w:proofErr w:type="spellStart"/>
      <w:r w:rsidR="000509F4">
        <w:rPr>
          <w:lang w:val="uk-UA"/>
        </w:rPr>
        <w:t>Фекета</w:t>
      </w:r>
      <w:proofErr w:type="spellEnd"/>
      <w:r w:rsidR="000509F4">
        <w:rPr>
          <w:lang w:val="uk-UA"/>
        </w:rPr>
        <w:t xml:space="preserve"> І.Ю., 1999</w:t>
      </w:r>
      <w:r w:rsidR="00B47659" w:rsidRPr="00973BEA">
        <w:rPr>
          <w:lang w:val="uk-UA"/>
        </w:rPr>
        <w:t>].</w:t>
      </w:r>
    </w:p>
    <w:p w:rsidR="00B47659" w:rsidRPr="00973BEA" w:rsidRDefault="00B47659" w:rsidP="00973BEA">
      <w:pPr>
        <w:shd w:val="clear" w:color="auto" w:fill="FFFFFF"/>
        <w:tabs>
          <w:tab w:val="left" w:pos="426"/>
        </w:tabs>
        <w:spacing w:line="360" w:lineRule="auto"/>
        <w:ind w:firstLine="526"/>
        <w:jc w:val="both"/>
        <w:rPr>
          <w:lang w:val="uk-UA"/>
        </w:rPr>
      </w:pPr>
      <w:r w:rsidRPr="00973BEA">
        <w:rPr>
          <w:color w:val="000000"/>
          <w:lang w:val="uk-UA"/>
        </w:rPr>
        <w:t xml:space="preserve">Нами встановлено, що перша асоціація охоплює передгірний луг, яка розташована на висоті </w:t>
      </w:r>
      <w:smartTag w:uri="urn:schemas-microsoft-com:office:smarttags" w:element="metricconverter">
        <w:smartTagPr>
          <w:attr w:name="ProductID" w:val="250 м"/>
        </w:smartTagPr>
        <w:r w:rsidRPr="00973BEA">
          <w:rPr>
            <w:color w:val="000000"/>
            <w:lang w:val="uk-UA"/>
          </w:rPr>
          <w:t>250 м</w:t>
        </w:r>
      </w:smartTag>
      <w:r w:rsidRPr="00973BEA">
        <w:rPr>
          <w:color w:val="000000"/>
          <w:lang w:val="uk-UA"/>
        </w:rPr>
        <w:t xml:space="preserve"> над рівнем моря і представлена </w:t>
      </w:r>
      <w:proofErr w:type="spellStart"/>
      <w:r w:rsidRPr="00973BEA">
        <w:rPr>
          <w:color w:val="000000"/>
          <w:lang w:val="uk-UA"/>
        </w:rPr>
        <w:t>конюшинником</w:t>
      </w:r>
      <w:proofErr w:type="spellEnd"/>
      <w:r w:rsidRPr="00973BEA">
        <w:rPr>
          <w:color w:val="000000"/>
          <w:lang w:val="uk-UA"/>
        </w:rPr>
        <w:t xml:space="preserve"> </w:t>
      </w:r>
      <w:proofErr w:type="spellStart"/>
      <w:r w:rsidRPr="00973BEA">
        <w:rPr>
          <w:color w:val="000000"/>
          <w:lang w:val="uk-UA"/>
        </w:rPr>
        <w:t>різно-травнозлаковим</w:t>
      </w:r>
      <w:proofErr w:type="spellEnd"/>
      <w:r w:rsidRPr="00973BEA">
        <w:rPr>
          <w:color w:val="000000"/>
          <w:lang w:val="uk-UA"/>
        </w:rPr>
        <w:t xml:space="preserve">. Загальне покриття </w:t>
      </w:r>
      <w:proofErr w:type="spellStart"/>
      <w:r w:rsidRPr="00973BEA">
        <w:rPr>
          <w:color w:val="000000"/>
          <w:lang w:val="uk-UA"/>
        </w:rPr>
        <w:t>грунту</w:t>
      </w:r>
      <w:proofErr w:type="spellEnd"/>
      <w:r w:rsidRPr="00973BEA">
        <w:rPr>
          <w:color w:val="000000"/>
          <w:lang w:val="uk-UA"/>
        </w:rPr>
        <w:t xml:space="preserve"> травостоєм становить 75%. Тут виявлено домінуючі види </w:t>
      </w:r>
      <w:r w:rsidRPr="00973BEA">
        <w:rPr>
          <w:color w:val="000000"/>
          <w:lang w:val="uk-UA"/>
        </w:rPr>
        <w:lastRenderedPageBreak/>
        <w:t>рослин, зокрема: конюшину лучну (</w:t>
      </w:r>
      <w:proofErr w:type="spellStart"/>
      <w:r w:rsidRPr="00203D41">
        <w:rPr>
          <w:i/>
          <w:color w:val="000000"/>
          <w:lang w:val="en-US"/>
        </w:rPr>
        <w:t>Trifolium</w:t>
      </w:r>
      <w:proofErr w:type="spellEnd"/>
      <w:r w:rsidRPr="00203D41">
        <w:rPr>
          <w:i/>
          <w:color w:val="000000"/>
          <w:lang w:val="uk-UA"/>
        </w:rPr>
        <w:t xml:space="preserve"> </w:t>
      </w:r>
      <w:proofErr w:type="spellStart"/>
      <w:r w:rsidRPr="00203D41">
        <w:rPr>
          <w:i/>
          <w:color w:val="000000"/>
          <w:lang w:val="en-US"/>
        </w:rPr>
        <w:t>pratense</w:t>
      </w:r>
      <w:proofErr w:type="spellEnd"/>
      <w:r w:rsidRPr="00203D41">
        <w:rPr>
          <w:i/>
          <w:color w:val="000000"/>
          <w:lang w:val="uk-UA"/>
        </w:rPr>
        <w:t xml:space="preserve"> </w:t>
      </w:r>
      <w:r w:rsidRPr="00203D41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 xml:space="preserve">.) - 38% та </w:t>
      </w:r>
      <w:proofErr w:type="spellStart"/>
      <w:r w:rsidRPr="00973BEA">
        <w:rPr>
          <w:color w:val="000000"/>
          <w:lang w:val="uk-UA"/>
        </w:rPr>
        <w:t>лядвенец</w:t>
      </w:r>
      <w:proofErr w:type="spellEnd"/>
      <w:r w:rsidRPr="00973BEA">
        <w:rPr>
          <w:color w:val="000000"/>
          <w:lang w:val="uk-UA"/>
        </w:rPr>
        <w:t xml:space="preserve"> рогатий (</w:t>
      </w:r>
      <w:r w:rsidRPr="00203D41">
        <w:rPr>
          <w:i/>
          <w:color w:val="000000"/>
          <w:lang w:val="en-US"/>
        </w:rPr>
        <w:t>Lotus</w:t>
      </w:r>
      <w:r w:rsidRPr="00203D41">
        <w:rPr>
          <w:i/>
          <w:color w:val="000000"/>
          <w:lang w:val="uk-UA"/>
        </w:rPr>
        <w:t xml:space="preserve"> </w:t>
      </w:r>
      <w:proofErr w:type="spellStart"/>
      <w:r w:rsidRPr="00203D41">
        <w:rPr>
          <w:i/>
          <w:color w:val="000000"/>
          <w:lang w:val="en-US"/>
        </w:rPr>
        <w:t>corniculatus</w:t>
      </w:r>
      <w:proofErr w:type="spellEnd"/>
      <w:r w:rsidRPr="00203D41">
        <w:rPr>
          <w:i/>
          <w:color w:val="000000"/>
          <w:lang w:val="uk-UA"/>
        </w:rPr>
        <w:t xml:space="preserve"> </w:t>
      </w:r>
      <w:r w:rsidRPr="00203D41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>.) - 35%. Золототисячник звичайний зустрічається  невеликими групами і складає - 20 %. В склад природної популяції входять також жовтець їдкий (</w:t>
      </w:r>
      <w:r w:rsidRPr="00203D41">
        <w:rPr>
          <w:i/>
          <w:color w:val="000000"/>
          <w:lang w:val="en-US"/>
        </w:rPr>
        <w:t>Ranunculus</w:t>
      </w:r>
      <w:r w:rsidRPr="00203D41">
        <w:rPr>
          <w:i/>
          <w:color w:val="000000"/>
          <w:lang w:val="uk-UA"/>
        </w:rPr>
        <w:t xml:space="preserve"> а</w:t>
      </w:r>
      <w:r w:rsidRPr="00203D41">
        <w:rPr>
          <w:i/>
          <w:color w:val="000000"/>
          <w:lang w:val="en-US"/>
        </w:rPr>
        <w:t>c</w:t>
      </w:r>
      <w:r w:rsidRPr="00203D41">
        <w:rPr>
          <w:i/>
          <w:color w:val="000000"/>
          <w:lang w:val="uk-UA"/>
        </w:rPr>
        <w:t>е</w:t>
      </w:r>
      <w:r w:rsidRPr="00203D41">
        <w:rPr>
          <w:i/>
          <w:color w:val="000000"/>
          <w:lang w:val="en-US"/>
        </w:rPr>
        <w:t>r</w:t>
      </w:r>
      <w:r w:rsidRPr="00203D41">
        <w:rPr>
          <w:i/>
          <w:color w:val="000000"/>
          <w:lang w:val="uk-UA"/>
        </w:rPr>
        <w:t xml:space="preserve"> </w:t>
      </w:r>
      <w:r w:rsidRPr="00203D41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>.), деревій звичайний (</w:t>
      </w:r>
      <w:proofErr w:type="spellStart"/>
      <w:r w:rsidRPr="00203D41">
        <w:rPr>
          <w:i/>
          <w:color w:val="000000"/>
          <w:lang w:val="en-US"/>
        </w:rPr>
        <w:t>Achillea</w:t>
      </w:r>
      <w:proofErr w:type="spellEnd"/>
      <w:r w:rsidRPr="00203D41">
        <w:rPr>
          <w:i/>
          <w:color w:val="000000"/>
          <w:lang w:val="uk-UA"/>
        </w:rPr>
        <w:t xml:space="preserve"> </w:t>
      </w:r>
      <w:proofErr w:type="spellStart"/>
      <w:r w:rsidRPr="00203D41">
        <w:rPr>
          <w:i/>
          <w:color w:val="000000"/>
          <w:lang w:val="en-US"/>
        </w:rPr>
        <w:t>millefolium</w:t>
      </w:r>
      <w:proofErr w:type="spellEnd"/>
      <w:r w:rsidRPr="00203D41">
        <w:rPr>
          <w:i/>
          <w:color w:val="000000"/>
          <w:lang w:val="uk-UA"/>
        </w:rPr>
        <w:t xml:space="preserve"> </w:t>
      </w:r>
      <w:r w:rsidRPr="00203D41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>.), морква дика (</w:t>
      </w:r>
      <w:proofErr w:type="spellStart"/>
      <w:r w:rsidRPr="00203D41">
        <w:rPr>
          <w:i/>
          <w:color w:val="000000"/>
          <w:lang w:val="en-US"/>
        </w:rPr>
        <w:t>Daucus</w:t>
      </w:r>
      <w:proofErr w:type="spellEnd"/>
      <w:r w:rsidRPr="00203D41">
        <w:rPr>
          <w:i/>
          <w:color w:val="000000"/>
          <w:lang w:val="uk-UA"/>
        </w:rPr>
        <w:t xml:space="preserve"> </w:t>
      </w:r>
      <w:proofErr w:type="spellStart"/>
      <w:r w:rsidRPr="00203D41">
        <w:rPr>
          <w:i/>
          <w:color w:val="000000"/>
          <w:lang w:val="en-US"/>
        </w:rPr>
        <w:t>carota</w:t>
      </w:r>
      <w:proofErr w:type="spellEnd"/>
      <w:r w:rsidRPr="00203D41">
        <w:rPr>
          <w:i/>
          <w:color w:val="000000"/>
          <w:lang w:val="uk-UA"/>
        </w:rPr>
        <w:t xml:space="preserve"> </w:t>
      </w:r>
      <w:r w:rsidRPr="00203D41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 xml:space="preserve">.), подорожник </w:t>
      </w:r>
      <w:proofErr w:type="spellStart"/>
      <w:r w:rsidRPr="00973BEA">
        <w:rPr>
          <w:color w:val="000000"/>
          <w:lang w:val="uk-UA"/>
        </w:rPr>
        <w:t>ланцетовидний</w:t>
      </w:r>
      <w:proofErr w:type="spellEnd"/>
      <w:r w:rsidRPr="00973BEA">
        <w:rPr>
          <w:color w:val="000000"/>
          <w:lang w:val="uk-UA"/>
        </w:rPr>
        <w:t xml:space="preserve"> (</w:t>
      </w:r>
      <w:proofErr w:type="spellStart"/>
      <w:r w:rsidRPr="00203D41">
        <w:rPr>
          <w:i/>
          <w:color w:val="000000"/>
          <w:lang w:val="en-US"/>
        </w:rPr>
        <w:t>Plantago</w:t>
      </w:r>
      <w:proofErr w:type="spellEnd"/>
      <w:r w:rsidRPr="00203D41">
        <w:rPr>
          <w:i/>
          <w:color w:val="000000"/>
          <w:lang w:val="uk-UA"/>
        </w:rPr>
        <w:t xml:space="preserve"> </w:t>
      </w:r>
      <w:proofErr w:type="spellStart"/>
      <w:r w:rsidRPr="00203D41">
        <w:rPr>
          <w:i/>
          <w:color w:val="000000"/>
          <w:lang w:val="en-US"/>
        </w:rPr>
        <w:t>lanceolata</w:t>
      </w:r>
      <w:proofErr w:type="spellEnd"/>
      <w:r w:rsidRPr="00203D41">
        <w:rPr>
          <w:i/>
          <w:color w:val="000000"/>
          <w:lang w:val="uk-UA"/>
        </w:rPr>
        <w:t xml:space="preserve"> </w:t>
      </w:r>
      <w:r w:rsidRPr="00203D41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>.), кульбаба лікарська (</w:t>
      </w:r>
      <w:proofErr w:type="spellStart"/>
      <w:r w:rsidRPr="00203D41">
        <w:rPr>
          <w:i/>
          <w:color w:val="000000"/>
          <w:lang w:val="en-US"/>
        </w:rPr>
        <w:t>Taraxacum</w:t>
      </w:r>
      <w:proofErr w:type="spellEnd"/>
      <w:r w:rsidRPr="00203D41">
        <w:rPr>
          <w:i/>
          <w:color w:val="000000"/>
          <w:lang w:val="uk-UA"/>
        </w:rPr>
        <w:t xml:space="preserve"> </w:t>
      </w:r>
      <w:proofErr w:type="spellStart"/>
      <w:r w:rsidRPr="00203D41">
        <w:rPr>
          <w:i/>
          <w:color w:val="000000"/>
          <w:lang w:val="en-US"/>
        </w:rPr>
        <w:t>officinale</w:t>
      </w:r>
      <w:proofErr w:type="spellEnd"/>
      <w:r w:rsidRPr="00203D41">
        <w:rPr>
          <w:i/>
          <w:color w:val="000000"/>
          <w:lang w:val="uk-UA"/>
        </w:rPr>
        <w:t xml:space="preserve"> </w:t>
      </w:r>
      <w:r w:rsidRPr="00203D41">
        <w:rPr>
          <w:i/>
          <w:color w:val="000000"/>
          <w:lang w:val="en-US"/>
        </w:rPr>
        <w:t>Wed</w:t>
      </w:r>
      <w:r w:rsidRPr="00973BEA">
        <w:rPr>
          <w:color w:val="000000"/>
          <w:lang w:val="uk-UA"/>
        </w:rPr>
        <w:t>.), королиця звичайна (</w:t>
      </w:r>
      <w:proofErr w:type="spellStart"/>
      <w:r w:rsidRPr="00203D41">
        <w:rPr>
          <w:i/>
          <w:color w:val="000000"/>
          <w:lang w:val="en-US"/>
        </w:rPr>
        <w:t>Leucanfhemum</w:t>
      </w:r>
      <w:proofErr w:type="spellEnd"/>
      <w:r w:rsidRPr="00203D41">
        <w:rPr>
          <w:i/>
          <w:color w:val="000000"/>
          <w:lang w:val="uk-UA"/>
        </w:rPr>
        <w:t xml:space="preserve"> </w:t>
      </w:r>
      <w:proofErr w:type="spellStart"/>
      <w:r w:rsidRPr="00203D41">
        <w:rPr>
          <w:i/>
          <w:color w:val="000000"/>
          <w:lang w:val="en-US"/>
        </w:rPr>
        <w:t>vulgare</w:t>
      </w:r>
      <w:proofErr w:type="spellEnd"/>
      <w:r w:rsidRPr="00203D41">
        <w:rPr>
          <w:i/>
          <w:color w:val="000000"/>
          <w:lang w:val="uk-UA"/>
        </w:rPr>
        <w:t xml:space="preserve"> </w:t>
      </w:r>
      <w:r w:rsidRPr="00203D41">
        <w:rPr>
          <w:i/>
          <w:color w:val="000000"/>
          <w:lang w:val="en-US"/>
        </w:rPr>
        <w:t>Lam</w:t>
      </w:r>
      <w:r w:rsidRPr="00973BEA">
        <w:rPr>
          <w:color w:val="000000"/>
          <w:lang w:val="uk-UA"/>
        </w:rPr>
        <w:t>.), м’ята польова (</w:t>
      </w:r>
      <w:proofErr w:type="spellStart"/>
      <w:r w:rsidRPr="00203D41">
        <w:rPr>
          <w:i/>
          <w:color w:val="000000"/>
          <w:lang w:val="en-US"/>
        </w:rPr>
        <w:t>Mentha</w:t>
      </w:r>
      <w:proofErr w:type="spellEnd"/>
      <w:r w:rsidRPr="00203D41">
        <w:rPr>
          <w:i/>
          <w:color w:val="000000"/>
          <w:lang w:val="uk-UA"/>
        </w:rPr>
        <w:t xml:space="preserve"> </w:t>
      </w:r>
      <w:proofErr w:type="spellStart"/>
      <w:r w:rsidRPr="00203D41">
        <w:rPr>
          <w:i/>
          <w:color w:val="000000"/>
          <w:lang w:val="en-US"/>
        </w:rPr>
        <w:t>arvensis</w:t>
      </w:r>
      <w:proofErr w:type="spellEnd"/>
      <w:r w:rsidRPr="00203D41">
        <w:rPr>
          <w:i/>
          <w:color w:val="000000"/>
          <w:lang w:val="uk-UA"/>
        </w:rPr>
        <w:t xml:space="preserve"> </w:t>
      </w:r>
      <w:r w:rsidRPr="00203D41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>.).</w:t>
      </w:r>
    </w:p>
    <w:p w:rsidR="00B47659" w:rsidRPr="00973BEA" w:rsidRDefault="00B47659" w:rsidP="00973BEA">
      <w:pPr>
        <w:tabs>
          <w:tab w:val="left" w:pos="426"/>
        </w:tabs>
        <w:spacing w:line="360" w:lineRule="auto"/>
        <w:ind w:firstLine="526"/>
        <w:jc w:val="both"/>
        <w:rPr>
          <w:color w:val="000000"/>
          <w:lang w:val="uk-UA"/>
        </w:rPr>
      </w:pPr>
      <w:r w:rsidRPr="00973BEA">
        <w:rPr>
          <w:color w:val="000000"/>
          <w:lang w:val="uk-UA"/>
        </w:rPr>
        <w:t xml:space="preserve">Дослідження показали, що друга асоціація, що розташована на висоті </w:t>
      </w:r>
      <w:smartTag w:uri="urn:schemas-microsoft-com:office:smarttags" w:element="metricconverter">
        <w:smartTagPr>
          <w:attr w:name="ProductID" w:val="150 м"/>
        </w:smartTagPr>
        <w:r w:rsidRPr="00973BEA">
          <w:rPr>
            <w:color w:val="000000"/>
            <w:lang w:val="uk-UA"/>
          </w:rPr>
          <w:t>150 м</w:t>
        </w:r>
      </w:smartTag>
      <w:r w:rsidRPr="00973BEA">
        <w:rPr>
          <w:color w:val="000000"/>
          <w:lang w:val="uk-UA"/>
        </w:rPr>
        <w:t xml:space="preserve"> над рівнем моря представляє собою типову лугову ділянку, на якій переважно зростають рослини-домінанти - піжмо звичайне (</w:t>
      </w:r>
      <w:proofErr w:type="spellStart"/>
      <w:r w:rsidRPr="009C7C85">
        <w:rPr>
          <w:i/>
          <w:color w:val="000000"/>
          <w:lang w:val="en-US"/>
        </w:rPr>
        <w:t>Tanacetum</w:t>
      </w:r>
      <w:proofErr w:type="spellEnd"/>
      <w:r w:rsidRPr="009C7C85">
        <w:rPr>
          <w:i/>
          <w:color w:val="000000"/>
          <w:lang w:val="uk-UA"/>
        </w:rPr>
        <w:t xml:space="preserve"> </w:t>
      </w:r>
      <w:proofErr w:type="spellStart"/>
      <w:r w:rsidRPr="009C7C85">
        <w:rPr>
          <w:i/>
          <w:color w:val="000000"/>
          <w:lang w:val="en-US"/>
        </w:rPr>
        <w:t>vulgare</w:t>
      </w:r>
      <w:proofErr w:type="spellEnd"/>
      <w:r w:rsidRPr="009C7C85">
        <w:rPr>
          <w:i/>
          <w:color w:val="000000"/>
          <w:lang w:val="uk-UA"/>
        </w:rPr>
        <w:t xml:space="preserve"> </w:t>
      </w:r>
      <w:r w:rsidRPr="009C7C85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>.), конюшина лучна (</w:t>
      </w:r>
      <w:proofErr w:type="spellStart"/>
      <w:r w:rsidRPr="009C7C85">
        <w:rPr>
          <w:i/>
          <w:color w:val="000000"/>
          <w:lang w:val="en-US"/>
        </w:rPr>
        <w:t>Trifolium</w:t>
      </w:r>
      <w:proofErr w:type="spellEnd"/>
      <w:r w:rsidRPr="009C7C85">
        <w:rPr>
          <w:i/>
          <w:color w:val="000000"/>
          <w:lang w:val="uk-UA"/>
        </w:rPr>
        <w:t xml:space="preserve"> </w:t>
      </w:r>
      <w:proofErr w:type="spellStart"/>
      <w:r w:rsidRPr="009C7C85">
        <w:rPr>
          <w:i/>
          <w:color w:val="000000"/>
          <w:lang w:val="en-US"/>
        </w:rPr>
        <w:t>pratense</w:t>
      </w:r>
      <w:proofErr w:type="spellEnd"/>
      <w:r w:rsidRPr="009C7C85">
        <w:rPr>
          <w:i/>
          <w:color w:val="000000"/>
          <w:lang w:val="uk-UA"/>
        </w:rPr>
        <w:t xml:space="preserve"> </w:t>
      </w:r>
      <w:r w:rsidRPr="009C7C85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>.), а також субдомінанти - деревій звичайний (</w:t>
      </w:r>
      <w:proofErr w:type="spellStart"/>
      <w:r w:rsidRPr="009C7C85">
        <w:rPr>
          <w:i/>
          <w:color w:val="000000"/>
          <w:lang w:val="en-US"/>
        </w:rPr>
        <w:t>Achillea</w:t>
      </w:r>
      <w:proofErr w:type="spellEnd"/>
      <w:r w:rsidRPr="009C7C85">
        <w:rPr>
          <w:i/>
          <w:color w:val="000000"/>
          <w:lang w:val="uk-UA"/>
        </w:rPr>
        <w:t xml:space="preserve"> </w:t>
      </w:r>
      <w:proofErr w:type="spellStart"/>
      <w:r w:rsidRPr="009C7C85">
        <w:rPr>
          <w:i/>
          <w:color w:val="000000"/>
          <w:lang w:val="en-US"/>
        </w:rPr>
        <w:t>millefolium</w:t>
      </w:r>
      <w:proofErr w:type="spellEnd"/>
      <w:r w:rsidRPr="009C7C85">
        <w:rPr>
          <w:i/>
          <w:color w:val="000000"/>
          <w:lang w:val="uk-UA"/>
        </w:rPr>
        <w:t xml:space="preserve"> </w:t>
      </w:r>
      <w:r w:rsidRPr="009C7C85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>.), морква дика (</w:t>
      </w:r>
      <w:proofErr w:type="spellStart"/>
      <w:r w:rsidRPr="002D6D2A">
        <w:rPr>
          <w:i/>
          <w:color w:val="000000"/>
          <w:lang w:val="en-US"/>
        </w:rPr>
        <w:t>Daucus</w:t>
      </w:r>
      <w:proofErr w:type="spellEnd"/>
      <w:r w:rsidRPr="002D6D2A">
        <w:rPr>
          <w:i/>
          <w:color w:val="000000"/>
          <w:lang w:val="uk-UA"/>
        </w:rPr>
        <w:t xml:space="preserve"> </w:t>
      </w:r>
      <w:proofErr w:type="spellStart"/>
      <w:r w:rsidRPr="002D6D2A">
        <w:rPr>
          <w:i/>
          <w:color w:val="000000"/>
          <w:lang w:val="en-US"/>
        </w:rPr>
        <w:t>carota</w:t>
      </w:r>
      <w:proofErr w:type="spellEnd"/>
      <w:r w:rsidRPr="002D6D2A">
        <w:rPr>
          <w:i/>
          <w:color w:val="000000"/>
          <w:lang w:val="uk-UA"/>
        </w:rPr>
        <w:t xml:space="preserve"> </w:t>
      </w:r>
      <w:r w:rsidRPr="002D6D2A">
        <w:rPr>
          <w:i/>
          <w:color w:val="000000"/>
          <w:lang w:val="en-US"/>
        </w:rPr>
        <w:t>L</w:t>
      </w:r>
      <w:r w:rsidRPr="002D6D2A">
        <w:rPr>
          <w:i/>
          <w:color w:val="000000"/>
          <w:lang w:val="uk-UA"/>
        </w:rPr>
        <w:t>.</w:t>
      </w:r>
      <w:r w:rsidRPr="00973BEA">
        <w:rPr>
          <w:color w:val="000000"/>
          <w:lang w:val="uk-UA"/>
        </w:rPr>
        <w:t>), любочки осінні (</w:t>
      </w:r>
      <w:proofErr w:type="spellStart"/>
      <w:r w:rsidRPr="002D6D2A">
        <w:rPr>
          <w:i/>
          <w:color w:val="000000"/>
          <w:lang w:val="en-US"/>
        </w:rPr>
        <w:t>Leontodon</w:t>
      </w:r>
      <w:proofErr w:type="spellEnd"/>
      <w:r w:rsidRPr="002D6D2A">
        <w:rPr>
          <w:i/>
          <w:color w:val="000000"/>
          <w:lang w:val="uk-UA"/>
        </w:rPr>
        <w:t xml:space="preserve"> </w:t>
      </w:r>
      <w:proofErr w:type="spellStart"/>
      <w:r w:rsidRPr="002D6D2A">
        <w:rPr>
          <w:i/>
          <w:color w:val="000000"/>
          <w:lang w:val="en-US"/>
        </w:rPr>
        <w:t>autumnalis</w:t>
      </w:r>
      <w:proofErr w:type="spellEnd"/>
      <w:r w:rsidRPr="00973BEA">
        <w:rPr>
          <w:color w:val="000000"/>
          <w:lang w:val="uk-UA"/>
        </w:rPr>
        <w:t>). Серед компонентів визначено королицю звичайну (</w:t>
      </w:r>
      <w:proofErr w:type="spellStart"/>
      <w:r w:rsidRPr="002D6D2A">
        <w:rPr>
          <w:i/>
          <w:color w:val="000000"/>
          <w:lang w:val="en-US"/>
        </w:rPr>
        <w:t>Leucanfhemum</w:t>
      </w:r>
      <w:proofErr w:type="spellEnd"/>
      <w:r w:rsidRPr="002D6D2A">
        <w:rPr>
          <w:i/>
          <w:color w:val="000000"/>
          <w:lang w:val="uk-UA"/>
        </w:rPr>
        <w:t xml:space="preserve"> </w:t>
      </w:r>
      <w:proofErr w:type="spellStart"/>
      <w:r w:rsidRPr="002D6D2A">
        <w:rPr>
          <w:i/>
          <w:color w:val="000000"/>
          <w:lang w:val="en-US"/>
        </w:rPr>
        <w:t>vulgare</w:t>
      </w:r>
      <w:proofErr w:type="spellEnd"/>
      <w:r w:rsidRPr="002D6D2A">
        <w:rPr>
          <w:i/>
          <w:color w:val="000000"/>
          <w:lang w:val="uk-UA"/>
        </w:rPr>
        <w:t xml:space="preserve"> </w:t>
      </w:r>
      <w:r w:rsidRPr="002D6D2A">
        <w:rPr>
          <w:i/>
          <w:color w:val="000000"/>
          <w:lang w:val="en-US"/>
        </w:rPr>
        <w:t>Lam</w:t>
      </w:r>
      <w:r w:rsidRPr="00973BEA">
        <w:rPr>
          <w:color w:val="000000"/>
          <w:lang w:val="uk-UA"/>
        </w:rPr>
        <w:t>.), горошок мишачий (</w:t>
      </w:r>
      <w:proofErr w:type="spellStart"/>
      <w:r w:rsidRPr="002D6D2A">
        <w:rPr>
          <w:i/>
          <w:color w:val="000000"/>
          <w:lang w:val="en-US"/>
        </w:rPr>
        <w:t>Vicia</w:t>
      </w:r>
      <w:proofErr w:type="spellEnd"/>
      <w:r w:rsidRPr="002D6D2A">
        <w:rPr>
          <w:i/>
          <w:color w:val="000000"/>
          <w:lang w:val="uk-UA"/>
        </w:rPr>
        <w:t xml:space="preserve"> </w:t>
      </w:r>
      <w:proofErr w:type="spellStart"/>
      <w:r w:rsidRPr="002D6D2A">
        <w:rPr>
          <w:i/>
          <w:color w:val="000000"/>
          <w:lang w:val="en-US"/>
        </w:rPr>
        <w:t>cracca</w:t>
      </w:r>
      <w:proofErr w:type="spellEnd"/>
      <w:r w:rsidRPr="002D6D2A">
        <w:rPr>
          <w:i/>
          <w:color w:val="000000"/>
          <w:lang w:val="uk-UA"/>
        </w:rPr>
        <w:t xml:space="preserve"> </w:t>
      </w:r>
      <w:r w:rsidRPr="002D6D2A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>.), перстач гусячий (</w:t>
      </w:r>
      <w:proofErr w:type="spellStart"/>
      <w:r w:rsidRPr="002D6D2A">
        <w:rPr>
          <w:i/>
          <w:color w:val="000000"/>
          <w:lang w:val="en-US"/>
        </w:rPr>
        <w:t>Potentilla</w:t>
      </w:r>
      <w:proofErr w:type="spellEnd"/>
      <w:r w:rsidRPr="002D6D2A">
        <w:rPr>
          <w:i/>
          <w:color w:val="000000"/>
          <w:lang w:val="uk-UA"/>
        </w:rPr>
        <w:t xml:space="preserve"> </w:t>
      </w:r>
      <w:proofErr w:type="spellStart"/>
      <w:r w:rsidRPr="002D6D2A">
        <w:rPr>
          <w:i/>
          <w:color w:val="000000"/>
          <w:lang w:val="en-US"/>
        </w:rPr>
        <w:t>anserina</w:t>
      </w:r>
      <w:proofErr w:type="spellEnd"/>
      <w:r w:rsidRPr="002D6D2A">
        <w:rPr>
          <w:i/>
          <w:color w:val="000000"/>
          <w:lang w:val="uk-UA"/>
        </w:rPr>
        <w:t xml:space="preserve"> </w:t>
      </w:r>
      <w:r w:rsidRPr="002D6D2A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>.), цикорій звичайний (</w:t>
      </w:r>
      <w:proofErr w:type="spellStart"/>
      <w:r w:rsidRPr="002D6D2A">
        <w:rPr>
          <w:i/>
          <w:color w:val="000000"/>
          <w:lang w:val="en-US"/>
        </w:rPr>
        <w:t>Cichorium</w:t>
      </w:r>
      <w:proofErr w:type="spellEnd"/>
      <w:r w:rsidRPr="002D6D2A">
        <w:rPr>
          <w:i/>
          <w:color w:val="000000"/>
          <w:lang w:val="uk-UA"/>
        </w:rPr>
        <w:t xml:space="preserve"> </w:t>
      </w:r>
      <w:proofErr w:type="spellStart"/>
      <w:r w:rsidRPr="002D6D2A">
        <w:rPr>
          <w:i/>
          <w:color w:val="000000"/>
          <w:lang w:val="en-US"/>
        </w:rPr>
        <w:t>intybus</w:t>
      </w:r>
      <w:proofErr w:type="spellEnd"/>
      <w:r w:rsidRPr="002D6D2A">
        <w:rPr>
          <w:i/>
          <w:color w:val="000000"/>
          <w:lang w:val="uk-UA"/>
        </w:rPr>
        <w:t xml:space="preserve"> </w:t>
      </w:r>
      <w:r w:rsidRPr="002D6D2A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>.), гвоздику дельтовидну (</w:t>
      </w:r>
      <w:r w:rsidRPr="002D6D2A">
        <w:rPr>
          <w:i/>
          <w:color w:val="000000"/>
          <w:lang w:val="en-US"/>
        </w:rPr>
        <w:t>Dianthus</w:t>
      </w:r>
      <w:r w:rsidRPr="002D6D2A">
        <w:rPr>
          <w:i/>
          <w:color w:val="000000"/>
          <w:lang w:val="uk-UA"/>
        </w:rPr>
        <w:t xml:space="preserve"> </w:t>
      </w:r>
      <w:proofErr w:type="spellStart"/>
      <w:r w:rsidRPr="002D6D2A">
        <w:rPr>
          <w:i/>
          <w:color w:val="000000"/>
          <w:lang w:val="en-US"/>
        </w:rPr>
        <w:t>deltoides</w:t>
      </w:r>
      <w:proofErr w:type="spellEnd"/>
      <w:r w:rsidRPr="002D6D2A">
        <w:rPr>
          <w:i/>
          <w:color w:val="000000"/>
          <w:lang w:val="uk-UA"/>
        </w:rPr>
        <w:t xml:space="preserve"> </w:t>
      </w:r>
      <w:r w:rsidRPr="002D6D2A">
        <w:rPr>
          <w:i/>
          <w:color w:val="000000"/>
          <w:lang w:val="en-US"/>
        </w:rPr>
        <w:t>L</w:t>
      </w:r>
      <w:r w:rsidRPr="00973BEA">
        <w:rPr>
          <w:color w:val="000000"/>
          <w:lang w:val="uk-UA"/>
        </w:rPr>
        <w:t xml:space="preserve">.). </w:t>
      </w:r>
    </w:p>
    <w:p w:rsidR="00B47659" w:rsidRPr="00973BEA" w:rsidRDefault="00B47659" w:rsidP="00973BEA">
      <w:pPr>
        <w:tabs>
          <w:tab w:val="left" w:pos="426"/>
        </w:tabs>
        <w:spacing w:line="360" w:lineRule="auto"/>
        <w:ind w:firstLine="526"/>
        <w:jc w:val="both"/>
        <w:rPr>
          <w:color w:val="000000"/>
          <w:lang w:val="uk-UA"/>
        </w:rPr>
      </w:pPr>
      <w:r w:rsidRPr="00973BEA">
        <w:rPr>
          <w:color w:val="000000"/>
          <w:lang w:val="uk-UA"/>
        </w:rPr>
        <w:t xml:space="preserve">Нами з’ясовано, що висота рослини, кількість бічних пагонів і вузлів, довжина між вузлів, ширина листка, кількість квіток та урожай насіння рослин другої лугової популяції </w:t>
      </w:r>
      <w:proofErr w:type="spellStart"/>
      <w:r w:rsidRPr="00973BEA">
        <w:rPr>
          <w:color w:val="000000"/>
          <w:lang w:val="uk-UA"/>
        </w:rPr>
        <w:t>золототисячника</w:t>
      </w:r>
      <w:proofErr w:type="spellEnd"/>
      <w:r w:rsidRPr="00973BEA">
        <w:rPr>
          <w:color w:val="000000"/>
          <w:lang w:val="uk-UA"/>
        </w:rPr>
        <w:t xml:space="preserve"> звичайного значно більші, ніж першої передгірної (табл. 1). </w:t>
      </w:r>
    </w:p>
    <w:p w:rsidR="00B47659" w:rsidRDefault="00A73A49" w:rsidP="00973BEA">
      <w:pPr>
        <w:tabs>
          <w:tab w:val="left" w:pos="426"/>
        </w:tabs>
        <w:spacing w:line="360" w:lineRule="auto"/>
        <w:ind w:firstLine="526"/>
        <w:jc w:val="both"/>
        <w:rPr>
          <w:lang w:val="uk-UA"/>
        </w:rPr>
      </w:pPr>
      <w:proofErr w:type="spellStart"/>
      <w:r>
        <w:t>Таблиця</w:t>
      </w:r>
      <w:proofErr w:type="spellEnd"/>
      <w:r>
        <w:t xml:space="preserve"> 1</w:t>
      </w:r>
      <w:r w:rsidR="00B47659" w:rsidRPr="00973BEA">
        <w:t xml:space="preserve"> </w:t>
      </w:r>
      <w:proofErr w:type="spellStart"/>
      <w:r w:rsidR="00B47659" w:rsidRPr="00973BEA">
        <w:rPr>
          <w:lang w:val="uk-UA"/>
        </w:rPr>
        <w:t>Морфометричні</w:t>
      </w:r>
      <w:proofErr w:type="spellEnd"/>
      <w:r w:rsidR="00B47659" w:rsidRPr="00973BEA">
        <w:rPr>
          <w:lang w:val="uk-UA"/>
        </w:rPr>
        <w:t xml:space="preserve"> показники і врожай насіння рослин </w:t>
      </w:r>
      <w:proofErr w:type="spellStart"/>
      <w:r w:rsidR="00B47659" w:rsidRPr="00973BEA">
        <w:rPr>
          <w:lang w:val="uk-UA"/>
        </w:rPr>
        <w:t>золототисячника</w:t>
      </w:r>
      <w:proofErr w:type="spellEnd"/>
      <w:r w:rsidR="00B47659" w:rsidRPr="00973BEA">
        <w:rPr>
          <w:lang w:val="uk-UA"/>
        </w:rPr>
        <w:t xml:space="preserve"> звичайного в природних популяціях Закарпаття</w:t>
      </w:r>
    </w:p>
    <w:p w:rsidR="002B06FF" w:rsidRPr="002B06FF" w:rsidRDefault="002B06FF" w:rsidP="002B06FF">
      <w:pPr>
        <w:spacing w:line="360" w:lineRule="auto"/>
        <w:ind w:firstLine="540"/>
        <w:jc w:val="both"/>
        <w:rPr>
          <w:rFonts w:eastAsiaTheme="minorHAnsi"/>
          <w:sz w:val="22"/>
          <w:szCs w:val="22"/>
          <w:lang w:val="uk-UA" w:eastAsia="en-US"/>
        </w:rPr>
      </w:pPr>
      <w:proofErr w:type="spellStart"/>
      <w:r w:rsidRPr="002B06FF">
        <w:rPr>
          <w:rFonts w:eastAsiaTheme="minorHAnsi"/>
          <w:sz w:val="22"/>
          <w:szCs w:val="22"/>
          <w:lang w:val="uk-UA" w:eastAsia="en-US"/>
        </w:rPr>
        <w:t>Table</w:t>
      </w:r>
      <w:proofErr w:type="spellEnd"/>
      <w:r w:rsidRPr="002B06FF">
        <w:rPr>
          <w:rFonts w:eastAsiaTheme="minorHAnsi"/>
          <w:sz w:val="22"/>
          <w:szCs w:val="22"/>
          <w:lang w:val="uk-UA" w:eastAsia="en-US"/>
        </w:rPr>
        <w:t xml:space="preserve"> 1 </w:t>
      </w:r>
      <w:proofErr w:type="spellStart"/>
      <w:r w:rsidRPr="002B06FF">
        <w:rPr>
          <w:rFonts w:eastAsiaTheme="minorHAnsi"/>
          <w:sz w:val="22"/>
          <w:szCs w:val="22"/>
          <w:lang w:val="uk-UA" w:eastAsia="en-US"/>
        </w:rPr>
        <w:t>Morfometrichnі</w:t>
      </w:r>
      <w:proofErr w:type="spellEnd"/>
      <w:r w:rsidRPr="002B06FF">
        <w:rPr>
          <w:rFonts w:eastAsiaTheme="minorHAnsi"/>
          <w:sz w:val="22"/>
          <w:szCs w:val="22"/>
          <w:lang w:val="uk-UA" w:eastAsia="en-US"/>
        </w:rPr>
        <w:t xml:space="preserve"> </w:t>
      </w:r>
      <w:proofErr w:type="spellStart"/>
      <w:r w:rsidRPr="002B06FF">
        <w:rPr>
          <w:rFonts w:eastAsiaTheme="minorHAnsi"/>
          <w:sz w:val="22"/>
          <w:szCs w:val="22"/>
          <w:lang w:val="uk-UA" w:eastAsia="en-US"/>
        </w:rPr>
        <w:t>danye</w:t>
      </w:r>
      <w:proofErr w:type="spellEnd"/>
      <w:r w:rsidRPr="002B06FF">
        <w:rPr>
          <w:rFonts w:eastAsiaTheme="minorHAnsi"/>
          <w:sz w:val="22"/>
          <w:szCs w:val="22"/>
          <w:lang w:val="uk-UA" w:eastAsia="en-US"/>
        </w:rPr>
        <w:t xml:space="preserve"> </w:t>
      </w:r>
      <w:r>
        <w:rPr>
          <w:rFonts w:eastAsiaTheme="minorHAnsi"/>
          <w:sz w:val="22"/>
          <w:szCs w:val="22"/>
          <w:lang w:val="en-US" w:eastAsia="en-US"/>
        </w:rPr>
        <w:t xml:space="preserve">and </w:t>
      </w:r>
      <w:proofErr w:type="spellStart"/>
      <w:r w:rsidRPr="002B06FF">
        <w:rPr>
          <w:rFonts w:eastAsiaTheme="minorHAnsi"/>
          <w:sz w:val="22"/>
          <w:szCs w:val="22"/>
          <w:lang w:val="uk-UA" w:eastAsia="en-US"/>
        </w:rPr>
        <w:t>seed</w:t>
      </w:r>
      <w:proofErr w:type="spellEnd"/>
      <w:r w:rsidRPr="002B06FF">
        <w:rPr>
          <w:rFonts w:eastAsiaTheme="minorHAnsi"/>
          <w:sz w:val="22"/>
          <w:szCs w:val="22"/>
          <w:lang w:val="uk-UA" w:eastAsia="en-US"/>
        </w:rPr>
        <w:t xml:space="preserve"> </w:t>
      </w:r>
      <w:proofErr w:type="spellStart"/>
      <w:r w:rsidRPr="002B06FF">
        <w:rPr>
          <w:rFonts w:eastAsiaTheme="minorHAnsi"/>
          <w:sz w:val="22"/>
          <w:szCs w:val="22"/>
          <w:lang w:val="uk-UA" w:eastAsia="en-US"/>
        </w:rPr>
        <w:t>yield</w:t>
      </w:r>
      <w:proofErr w:type="spellEnd"/>
      <w:r w:rsidRPr="002B06FF">
        <w:rPr>
          <w:rFonts w:eastAsiaTheme="minorHAnsi"/>
          <w:sz w:val="22"/>
          <w:szCs w:val="22"/>
          <w:lang w:val="uk-UA" w:eastAsia="en-US"/>
        </w:rPr>
        <w:t xml:space="preserve"> </w:t>
      </w:r>
      <w:proofErr w:type="spellStart"/>
      <w:r w:rsidRPr="002B06FF">
        <w:rPr>
          <w:rFonts w:eastAsiaTheme="minorHAnsi"/>
          <w:sz w:val="22"/>
          <w:szCs w:val="22"/>
          <w:lang w:val="uk-UA" w:eastAsia="en-US"/>
        </w:rPr>
        <w:t>of</w:t>
      </w:r>
      <w:proofErr w:type="spellEnd"/>
      <w:r w:rsidRPr="002B06FF">
        <w:rPr>
          <w:rFonts w:eastAsiaTheme="minorHAnsi"/>
          <w:sz w:val="22"/>
          <w:szCs w:val="22"/>
          <w:lang w:val="uk-UA" w:eastAsia="en-US"/>
        </w:rPr>
        <w:t xml:space="preserve"> </w:t>
      </w:r>
      <w:proofErr w:type="spellStart"/>
      <w:r w:rsidRPr="002B06FF">
        <w:rPr>
          <w:rFonts w:eastAsiaTheme="minorHAnsi"/>
          <w:sz w:val="22"/>
          <w:szCs w:val="22"/>
          <w:lang w:val="uk-UA" w:eastAsia="en-US"/>
        </w:rPr>
        <w:t>plants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2D6D2A">
        <w:rPr>
          <w:i/>
          <w:lang w:val="en-US"/>
        </w:rPr>
        <w:t>Centaurium</w:t>
      </w:r>
      <w:proofErr w:type="spellEnd"/>
      <w:r w:rsidRPr="002D6D2A">
        <w:rPr>
          <w:i/>
          <w:lang w:val="en-US"/>
        </w:rPr>
        <w:t xml:space="preserve"> </w:t>
      </w:r>
      <w:proofErr w:type="spellStart"/>
      <w:r w:rsidRPr="002D6D2A">
        <w:rPr>
          <w:i/>
          <w:lang w:val="en-US"/>
        </w:rPr>
        <w:t>erythraea</w:t>
      </w:r>
      <w:proofErr w:type="spellEnd"/>
      <w:r w:rsidRPr="004B7019">
        <w:rPr>
          <w:lang w:val="uk-UA"/>
        </w:rPr>
        <w:t xml:space="preserve"> </w:t>
      </w:r>
      <w:r>
        <w:rPr>
          <w:lang w:val="en-US"/>
        </w:rPr>
        <w:t>in</w:t>
      </w:r>
      <w:r w:rsidRPr="002B06FF">
        <w:rPr>
          <w:rFonts w:eastAsiaTheme="minorHAnsi"/>
          <w:sz w:val="22"/>
          <w:szCs w:val="22"/>
          <w:lang w:val="uk-UA" w:eastAsia="en-US"/>
        </w:rPr>
        <w:t xml:space="preserve"> </w:t>
      </w:r>
      <w:proofErr w:type="spellStart"/>
      <w:r w:rsidRPr="002B06FF">
        <w:rPr>
          <w:rFonts w:eastAsiaTheme="minorHAnsi"/>
          <w:sz w:val="22"/>
          <w:szCs w:val="22"/>
          <w:lang w:val="uk-UA" w:eastAsia="en-US"/>
        </w:rPr>
        <w:t>natural</w:t>
      </w:r>
      <w:proofErr w:type="spellEnd"/>
      <w:r w:rsidRPr="002B06FF">
        <w:rPr>
          <w:rFonts w:eastAsiaTheme="minorHAnsi"/>
          <w:sz w:val="22"/>
          <w:szCs w:val="22"/>
          <w:lang w:val="uk-UA" w:eastAsia="en-US"/>
        </w:rPr>
        <w:t xml:space="preserve"> </w:t>
      </w:r>
      <w:proofErr w:type="spellStart"/>
      <w:r w:rsidRPr="002B06FF">
        <w:rPr>
          <w:rFonts w:eastAsiaTheme="minorHAnsi"/>
          <w:sz w:val="22"/>
          <w:szCs w:val="22"/>
          <w:lang w:val="uk-UA" w:eastAsia="en-US"/>
        </w:rPr>
        <w:t>populyatsіyah</w:t>
      </w:r>
      <w:proofErr w:type="spellEnd"/>
      <w:r w:rsidRPr="002B06FF">
        <w:rPr>
          <w:lang w:val="en-US"/>
        </w:rPr>
        <w:t xml:space="preserve"> </w:t>
      </w:r>
      <w:r w:rsidRPr="004B7019">
        <w:rPr>
          <w:lang w:val="en-US"/>
        </w:rPr>
        <w:t xml:space="preserve">of </w:t>
      </w:r>
      <w:proofErr w:type="spellStart"/>
      <w:r w:rsidRPr="004B7019">
        <w:rPr>
          <w:lang w:val="en-US"/>
        </w:rPr>
        <w:t>Transcarpathia</w:t>
      </w:r>
      <w:proofErr w:type="spellEnd"/>
    </w:p>
    <w:tbl>
      <w:tblPr>
        <w:tblStyle w:val="a3"/>
        <w:tblW w:w="0" w:type="auto"/>
        <w:tblLook w:val="01E0"/>
      </w:tblPr>
      <w:tblGrid>
        <w:gridCol w:w="3989"/>
        <w:gridCol w:w="2643"/>
        <w:gridCol w:w="2654"/>
      </w:tblGrid>
      <w:tr w:rsidR="00B47659" w:rsidRPr="00973BEA" w:rsidTr="004B7019">
        <w:tc>
          <w:tcPr>
            <w:tcW w:w="3989" w:type="dxa"/>
            <w:vMerge w:val="restart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Показники</w:t>
            </w:r>
          </w:p>
        </w:tc>
        <w:tc>
          <w:tcPr>
            <w:tcW w:w="5297" w:type="dxa"/>
            <w:gridSpan w:val="2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en-US"/>
              </w:rPr>
            </w:pPr>
            <w:r w:rsidRPr="00973BEA">
              <w:rPr>
                <w:color w:val="000000"/>
                <w:lang w:val="uk-UA"/>
              </w:rPr>
              <w:t>Популяція</w:t>
            </w:r>
          </w:p>
        </w:tc>
      </w:tr>
      <w:tr w:rsidR="00B47659" w:rsidRPr="00973BEA" w:rsidTr="004B7019">
        <w:tc>
          <w:tcPr>
            <w:tcW w:w="3989" w:type="dxa"/>
            <w:vMerge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2643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1</w:t>
            </w:r>
          </w:p>
        </w:tc>
        <w:tc>
          <w:tcPr>
            <w:tcW w:w="2654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2</w:t>
            </w:r>
          </w:p>
        </w:tc>
      </w:tr>
      <w:tr w:rsidR="00B47659" w:rsidRPr="00973BEA" w:rsidTr="004B7019">
        <w:tc>
          <w:tcPr>
            <w:tcW w:w="3989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rPr>
                <w:lang w:val="en-US"/>
              </w:rPr>
            </w:pPr>
            <w:r w:rsidRPr="00973BEA">
              <w:rPr>
                <w:color w:val="000000"/>
                <w:lang w:val="uk-UA"/>
              </w:rPr>
              <w:t>Висота рослин, мм</w:t>
            </w:r>
          </w:p>
        </w:tc>
        <w:tc>
          <w:tcPr>
            <w:tcW w:w="2643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141±5,3</w:t>
            </w:r>
          </w:p>
        </w:tc>
        <w:tc>
          <w:tcPr>
            <w:tcW w:w="2654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249±14,8</w:t>
            </w:r>
          </w:p>
        </w:tc>
      </w:tr>
      <w:tr w:rsidR="00B47659" w:rsidRPr="00973BEA" w:rsidTr="004B7019">
        <w:tc>
          <w:tcPr>
            <w:tcW w:w="3989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both"/>
              <w:rPr>
                <w:lang w:val="en-US"/>
              </w:rPr>
            </w:pPr>
            <w:r w:rsidRPr="00973BEA">
              <w:rPr>
                <w:color w:val="000000"/>
                <w:lang w:val="uk-UA"/>
              </w:rPr>
              <w:t>Кількість бічних пагонів, шт.</w:t>
            </w:r>
          </w:p>
        </w:tc>
        <w:tc>
          <w:tcPr>
            <w:tcW w:w="2643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5±0,4</w:t>
            </w:r>
          </w:p>
        </w:tc>
        <w:tc>
          <w:tcPr>
            <w:tcW w:w="2654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7±0,9</w:t>
            </w:r>
          </w:p>
        </w:tc>
      </w:tr>
      <w:tr w:rsidR="00B47659" w:rsidRPr="00973BEA" w:rsidTr="004B7019">
        <w:tc>
          <w:tcPr>
            <w:tcW w:w="3989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rPr>
                <w:lang w:val="en-US"/>
              </w:rPr>
            </w:pPr>
            <w:r w:rsidRPr="00973BEA">
              <w:rPr>
                <w:color w:val="000000"/>
                <w:lang w:val="uk-UA"/>
              </w:rPr>
              <w:t>Кількість вузлів, шт.</w:t>
            </w:r>
          </w:p>
        </w:tc>
        <w:tc>
          <w:tcPr>
            <w:tcW w:w="2643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10±0,2</w:t>
            </w:r>
          </w:p>
        </w:tc>
        <w:tc>
          <w:tcPr>
            <w:tcW w:w="2654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15±1,1</w:t>
            </w:r>
          </w:p>
        </w:tc>
      </w:tr>
      <w:tr w:rsidR="00B47659" w:rsidRPr="00973BEA" w:rsidTr="004B7019">
        <w:tc>
          <w:tcPr>
            <w:tcW w:w="3989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rPr>
                <w:lang w:val="en-US"/>
              </w:rPr>
            </w:pPr>
            <w:r w:rsidRPr="00973BEA">
              <w:rPr>
                <w:color w:val="000000"/>
                <w:lang w:val="uk-UA"/>
              </w:rPr>
              <w:t>Довжина між вузлами, мм</w:t>
            </w:r>
          </w:p>
        </w:tc>
        <w:tc>
          <w:tcPr>
            <w:tcW w:w="2643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27±1,2</w:t>
            </w:r>
          </w:p>
        </w:tc>
        <w:tc>
          <w:tcPr>
            <w:tcW w:w="2654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36±1,9</w:t>
            </w:r>
          </w:p>
        </w:tc>
      </w:tr>
      <w:tr w:rsidR="00B47659" w:rsidRPr="00973BEA" w:rsidTr="004B7019">
        <w:tc>
          <w:tcPr>
            <w:tcW w:w="3989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rPr>
                <w:lang w:val="en-US"/>
              </w:rPr>
            </w:pPr>
            <w:r w:rsidRPr="00973BEA">
              <w:rPr>
                <w:color w:val="000000"/>
                <w:lang w:val="uk-UA"/>
              </w:rPr>
              <w:t>Довжина листка мм</w:t>
            </w:r>
          </w:p>
        </w:tc>
        <w:tc>
          <w:tcPr>
            <w:tcW w:w="2643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12±0,6</w:t>
            </w:r>
          </w:p>
        </w:tc>
        <w:tc>
          <w:tcPr>
            <w:tcW w:w="2654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15±1,1</w:t>
            </w:r>
          </w:p>
        </w:tc>
      </w:tr>
      <w:tr w:rsidR="00B47659" w:rsidRPr="00973BEA" w:rsidTr="004B7019">
        <w:tc>
          <w:tcPr>
            <w:tcW w:w="3989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rPr>
                <w:lang w:val="en-US"/>
              </w:rPr>
            </w:pPr>
            <w:r w:rsidRPr="00973BEA">
              <w:rPr>
                <w:color w:val="000000"/>
                <w:lang w:val="uk-UA"/>
              </w:rPr>
              <w:t>Ширина листка, мм</w:t>
            </w:r>
          </w:p>
        </w:tc>
        <w:tc>
          <w:tcPr>
            <w:tcW w:w="2643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4±0,2</w:t>
            </w:r>
          </w:p>
        </w:tc>
        <w:tc>
          <w:tcPr>
            <w:tcW w:w="2654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5±0,4</w:t>
            </w:r>
          </w:p>
        </w:tc>
      </w:tr>
      <w:tr w:rsidR="00B47659" w:rsidRPr="00973BEA" w:rsidTr="004B7019">
        <w:tc>
          <w:tcPr>
            <w:tcW w:w="3989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rPr>
                <w:lang w:val="en-US"/>
              </w:rPr>
            </w:pPr>
            <w:r w:rsidRPr="00973BEA">
              <w:rPr>
                <w:color w:val="000000"/>
                <w:lang w:val="uk-UA"/>
              </w:rPr>
              <w:t>кількість квіток, шт.</w:t>
            </w:r>
          </w:p>
        </w:tc>
        <w:tc>
          <w:tcPr>
            <w:tcW w:w="2643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19±0,7</w:t>
            </w:r>
          </w:p>
        </w:tc>
        <w:tc>
          <w:tcPr>
            <w:tcW w:w="2654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42±1,8</w:t>
            </w:r>
          </w:p>
        </w:tc>
      </w:tr>
      <w:tr w:rsidR="00B47659" w:rsidRPr="00973BEA" w:rsidTr="004B7019">
        <w:tc>
          <w:tcPr>
            <w:tcW w:w="3989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rPr>
                <w:lang w:val="uk-UA"/>
              </w:rPr>
            </w:pPr>
            <w:r w:rsidRPr="00973BEA">
              <w:rPr>
                <w:lang w:val="uk-UA"/>
              </w:rPr>
              <w:t>Врожай насіння, г</w:t>
            </w:r>
          </w:p>
        </w:tc>
        <w:tc>
          <w:tcPr>
            <w:tcW w:w="2643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3,7±0,4</w:t>
            </w:r>
          </w:p>
        </w:tc>
        <w:tc>
          <w:tcPr>
            <w:tcW w:w="2654" w:type="dxa"/>
          </w:tcPr>
          <w:p w:rsidR="00B47659" w:rsidRPr="00973BEA" w:rsidRDefault="00B47659" w:rsidP="00973BEA">
            <w:pPr>
              <w:tabs>
                <w:tab w:val="left" w:pos="426"/>
              </w:tabs>
              <w:spacing w:line="360" w:lineRule="auto"/>
              <w:jc w:val="center"/>
              <w:rPr>
                <w:lang w:val="uk-UA"/>
              </w:rPr>
            </w:pPr>
            <w:r w:rsidRPr="00973BEA">
              <w:rPr>
                <w:lang w:val="uk-UA"/>
              </w:rPr>
              <w:t>4,3±0,6</w:t>
            </w:r>
          </w:p>
        </w:tc>
      </w:tr>
    </w:tbl>
    <w:p w:rsidR="00B47659" w:rsidRPr="00973BEA" w:rsidRDefault="00B47659" w:rsidP="00973BEA">
      <w:pPr>
        <w:tabs>
          <w:tab w:val="left" w:pos="426"/>
        </w:tabs>
        <w:spacing w:line="360" w:lineRule="auto"/>
        <w:jc w:val="center"/>
        <w:rPr>
          <w:lang w:val="en-US"/>
        </w:rPr>
      </w:pPr>
    </w:p>
    <w:p w:rsidR="00B47659" w:rsidRPr="00973BEA" w:rsidRDefault="00B47659" w:rsidP="00973BEA">
      <w:pPr>
        <w:tabs>
          <w:tab w:val="left" w:pos="426"/>
        </w:tabs>
        <w:spacing w:line="360" w:lineRule="auto"/>
        <w:ind w:firstLine="526"/>
        <w:jc w:val="both"/>
        <w:rPr>
          <w:color w:val="000000"/>
          <w:lang w:val="uk-UA"/>
        </w:rPr>
      </w:pPr>
      <w:r w:rsidRPr="00973BEA">
        <w:rPr>
          <w:color w:val="000000"/>
          <w:lang w:val="uk-UA"/>
        </w:rPr>
        <w:lastRenderedPageBreak/>
        <w:t xml:space="preserve">Зниження врожаю </w:t>
      </w:r>
      <w:proofErr w:type="spellStart"/>
      <w:r w:rsidRPr="00973BEA">
        <w:rPr>
          <w:color w:val="000000"/>
          <w:lang w:val="uk-UA"/>
        </w:rPr>
        <w:t>золототисячника</w:t>
      </w:r>
      <w:proofErr w:type="spellEnd"/>
      <w:r w:rsidRPr="00973BEA">
        <w:rPr>
          <w:color w:val="000000"/>
          <w:lang w:val="uk-UA"/>
        </w:rPr>
        <w:t xml:space="preserve"> звичайного на 11,6% в першій популяції пов’язано з підсиленням антропогенного </w:t>
      </w:r>
      <w:r w:rsidRPr="00973BEA">
        <w:rPr>
          <w:color w:val="000000"/>
          <w:spacing w:val="-1"/>
          <w:lang w:val="uk-UA"/>
        </w:rPr>
        <w:t>на</w:t>
      </w:r>
      <w:r w:rsidRPr="00973BEA">
        <w:rPr>
          <w:color w:val="000000"/>
          <w:lang w:val="uk-UA"/>
        </w:rPr>
        <w:t xml:space="preserve">вантаження, інтенсивним випасанням та осушенням луків. Виявлено, що дрібне насіння проростає лише за умов інтенсивного освітлення і потребує поверхневої сівби. Водночас сходи рослин переважно гинуть за дії прямого сонячного проміння, а взимку під крижаною кіркою вимерзають на стадії розетки листків. </w:t>
      </w:r>
    </w:p>
    <w:p w:rsidR="00B47659" w:rsidRPr="00973BEA" w:rsidRDefault="00B47659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26"/>
        <w:jc w:val="both"/>
        <w:rPr>
          <w:lang w:val="uk-UA"/>
        </w:rPr>
      </w:pPr>
      <w:r w:rsidRPr="00973BEA">
        <w:rPr>
          <w:color w:val="000000"/>
          <w:lang w:val="uk-UA"/>
        </w:rPr>
        <w:t xml:space="preserve">В серії експериментів нами досліджена можливість вирощування рослин </w:t>
      </w:r>
      <w:proofErr w:type="spellStart"/>
      <w:r w:rsidRPr="00973BEA">
        <w:rPr>
          <w:color w:val="000000"/>
          <w:lang w:val="uk-UA"/>
        </w:rPr>
        <w:t>золототисячника</w:t>
      </w:r>
      <w:proofErr w:type="spellEnd"/>
      <w:r w:rsidRPr="00973BEA">
        <w:rPr>
          <w:color w:val="000000"/>
          <w:lang w:val="uk-UA"/>
        </w:rPr>
        <w:t xml:space="preserve"> звичайного </w:t>
      </w:r>
      <w:r w:rsidRPr="00973BEA">
        <w:rPr>
          <w:lang w:val="uk-UA"/>
        </w:rPr>
        <w:t xml:space="preserve">розсадним способом в польових умовах (без покриття, під </w:t>
      </w:r>
      <w:r w:rsidRPr="00973BEA">
        <w:rPr>
          <w:color w:val="000000"/>
          <w:lang w:val="uk-UA"/>
        </w:rPr>
        <w:t>покриттям різнотрав’я та покриттям прозорою поліетиленовою плівкою</w:t>
      </w:r>
      <w:r w:rsidRPr="00973BEA">
        <w:rPr>
          <w:lang w:val="uk-UA"/>
        </w:rPr>
        <w:t xml:space="preserve">). В якості контролю слугували рослини, що вирощували рослини у дерев’яних ящиках. Насіння збирали з першої і другої природних популяцій золототисячнику звичайного, яке висівали 10 квітня. Ґрунт на якому вирощували рослини, за механічним складом легкий </w:t>
      </w:r>
      <w:proofErr w:type="spellStart"/>
      <w:r w:rsidRPr="00973BEA">
        <w:rPr>
          <w:lang w:val="uk-UA"/>
        </w:rPr>
        <w:t>слабоструктурований</w:t>
      </w:r>
      <w:proofErr w:type="spellEnd"/>
      <w:r w:rsidRPr="00973BEA">
        <w:rPr>
          <w:lang w:val="uk-UA"/>
        </w:rPr>
        <w:t xml:space="preserve">, з вмістом гумусу 1,6-1,82, доступних форм фосфору 2,9 та калію, 27,6 мг/100г ґрунту, </w:t>
      </w:r>
      <w:proofErr w:type="spellStart"/>
      <w:r w:rsidRPr="00973BEA">
        <w:rPr>
          <w:lang w:val="uk-UA"/>
        </w:rPr>
        <w:t>рН</w:t>
      </w:r>
      <w:proofErr w:type="spellEnd"/>
      <w:r w:rsidRPr="00973BEA">
        <w:rPr>
          <w:lang w:val="uk-UA"/>
        </w:rPr>
        <w:t xml:space="preserve"> - 6,2.</w:t>
      </w:r>
    </w:p>
    <w:p w:rsidR="00B47659" w:rsidRPr="00973BEA" w:rsidRDefault="002D6D2A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26"/>
        <w:jc w:val="both"/>
      </w:pPr>
      <w:r>
        <w:rPr>
          <w:lang w:val="uk-UA"/>
        </w:rPr>
        <w:t>У</w:t>
      </w:r>
      <w:r w:rsidR="00B47659" w:rsidRPr="00973BEA">
        <w:rPr>
          <w:lang w:val="uk-UA"/>
        </w:rPr>
        <w:t xml:space="preserve"> дослідах з використанням покриття, насіння </w:t>
      </w:r>
      <w:proofErr w:type="spellStart"/>
      <w:r w:rsidR="00B47659" w:rsidRPr="00973BEA">
        <w:rPr>
          <w:lang w:val="uk-UA"/>
        </w:rPr>
        <w:t>золототисячника</w:t>
      </w:r>
      <w:proofErr w:type="spellEnd"/>
      <w:r w:rsidR="00B47659" w:rsidRPr="00973BEA">
        <w:rPr>
          <w:lang w:val="uk-UA"/>
        </w:rPr>
        <w:t xml:space="preserve"> звичайного висівали у борідки глибиною 0,5 см з міжряддям 15 см. Частина рослин покривали прозорою поліетиленовою плівкою шириною 25 см без каркасу, решту без покриття. Спостереження показали, що перші сходи рослин з'явились на 14 добу під поліетиленовою плівкою, а на 23 добу – у відкритому </w:t>
      </w:r>
      <w:proofErr w:type="spellStart"/>
      <w:r w:rsidR="00B47659" w:rsidRPr="00973BEA">
        <w:rPr>
          <w:lang w:val="uk-UA"/>
        </w:rPr>
        <w:t>грунті</w:t>
      </w:r>
      <w:proofErr w:type="spellEnd"/>
      <w:r w:rsidR="00B47659" w:rsidRPr="00973BEA">
        <w:rPr>
          <w:lang w:val="uk-UA"/>
        </w:rPr>
        <w:t xml:space="preserve">. Найдружнішими сходи рослин зафіксовано у варіанті з покриттям поліетиленовою плівкою. На 46 добу практично всі сходи рослин без </w:t>
      </w:r>
      <w:proofErr w:type="spellStart"/>
      <w:r w:rsidR="00B47659" w:rsidRPr="00973BEA">
        <w:rPr>
          <w:lang w:val="uk-UA"/>
        </w:rPr>
        <w:t>без</w:t>
      </w:r>
      <w:proofErr w:type="spellEnd"/>
      <w:r w:rsidR="00B47659" w:rsidRPr="00973BEA">
        <w:rPr>
          <w:lang w:val="uk-UA"/>
        </w:rPr>
        <w:t xml:space="preserve"> покриття загинули. У рослин, покритих різнотрав’ям, відзначено появу густих сходів та справжніх листків. На 92 добу сходи рослин </w:t>
      </w:r>
      <w:proofErr w:type="spellStart"/>
      <w:r w:rsidR="00B47659" w:rsidRPr="00973BEA">
        <w:rPr>
          <w:color w:val="000000"/>
          <w:lang w:val="uk-UA"/>
        </w:rPr>
        <w:t>золототисячника</w:t>
      </w:r>
      <w:proofErr w:type="spellEnd"/>
      <w:r w:rsidR="00B47659" w:rsidRPr="00973BEA">
        <w:rPr>
          <w:color w:val="000000"/>
          <w:lang w:val="uk-UA"/>
        </w:rPr>
        <w:t xml:space="preserve"> звичайного</w:t>
      </w:r>
      <w:r w:rsidR="00B47659" w:rsidRPr="00973BEA">
        <w:rPr>
          <w:lang w:val="uk-UA"/>
        </w:rPr>
        <w:t xml:space="preserve"> під покриттям залишались життєздатними з діаметром листових розеток – 6-11 мм. Із 1000 насінин проросли в середньому 800 рослин (80%).</w:t>
      </w:r>
    </w:p>
    <w:p w:rsidR="00B47659" w:rsidRPr="00973BEA" w:rsidRDefault="00B47659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26"/>
        <w:jc w:val="both"/>
        <w:rPr>
          <w:lang w:val="uk-UA"/>
        </w:rPr>
      </w:pPr>
      <w:r w:rsidRPr="00973BEA">
        <w:rPr>
          <w:lang w:val="uk-UA"/>
        </w:rPr>
        <w:t xml:space="preserve">В подальшому, на зиму, крім залишеної стерні різнотрав’я (10-15 см), ділянку покривали тонким шаром скошеної трави з метою захисту рослин від вимерзання. Після успішної перезимівлі їх проріджували, розсаджували та затінювали. Рослини, які вирощували у відкритому ґрунті з покриттям тонким шаром соломи, загинули. Контрольні рослини після </w:t>
      </w:r>
      <w:proofErr w:type="spellStart"/>
      <w:r w:rsidRPr="00973BEA">
        <w:rPr>
          <w:lang w:val="uk-UA"/>
        </w:rPr>
        <w:t>перезимування</w:t>
      </w:r>
      <w:proofErr w:type="spellEnd"/>
      <w:r w:rsidRPr="00973BEA">
        <w:rPr>
          <w:lang w:val="uk-UA"/>
        </w:rPr>
        <w:t xml:space="preserve"> у дерев’яних ящиках і загартування снігом, успішно перенесли пересаджування, сформували генеративні пагони, зацвіли та утворили життєздатне насіння.</w:t>
      </w:r>
    </w:p>
    <w:p w:rsidR="00B47659" w:rsidRPr="00973BEA" w:rsidRDefault="00B47659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26"/>
        <w:jc w:val="both"/>
        <w:rPr>
          <w:lang w:val="uk-UA"/>
        </w:rPr>
      </w:pPr>
      <w:r w:rsidRPr="00973BEA">
        <w:rPr>
          <w:lang w:val="uk-UA"/>
        </w:rPr>
        <w:t xml:space="preserve">Для перевірки ефективності відновлення рослині </w:t>
      </w:r>
      <w:proofErr w:type="spellStart"/>
      <w:r w:rsidRPr="00973BEA">
        <w:rPr>
          <w:lang w:val="uk-UA"/>
        </w:rPr>
        <w:t>золототисячника</w:t>
      </w:r>
      <w:proofErr w:type="spellEnd"/>
      <w:r w:rsidRPr="00973BEA">
        <w:rPr>
          <w:lang w:val="uk-UA"/>
        </w:rPr>
        <w:t xml:space="preserve"> звичайного в порушених фітоценозах розсаду вирощували на ділянках з частково видаленою </w:t>
      </w:r>
      <w:r w:rsidRPr="00973BEA">
        <w:rPr>
          <w:lang w:val="uk-UA"/>
        </w:rPr>
        <w:lastRenderedPageBreak/>
        <w:t>конкурентною рослинністю. Після поливу більша  частина рослин рясно цвіла та плодоносила. Надалі насіння залишали на рослинах з метою їх відновлення в природних умовах Закарпаття.</w:t>
      </w:r>
    </w:p>
    <w:p w:rsidR="00B47659" w:rsidRPr="00973BEA" w:rsidRDefault="00B47659" w:rsidP="00EF28D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973BEA">
        <w:rPr>
          <w:b/>
          <w:bCs/>
          <w:lang w:val="uk-UA"/>
        </w:rPr>
        <w:t>Висновки</w:t>
      </w:r>
      <w:r w:rsidR="00EF28DC">
        <w:rPr>
          <w:b/>
          <w:bCs/>
          <w:lang w:val="uk-UA"/>
        </w:rPr>
        <w:t xml:space="preserve">. </w:t>
      </w:r>
      <w:r w:rsidRPr="00973BEA">
        <w:rPr>
          <w:lang w:val="uk-UA"/>
        </w:rPr>
        <w:t xml:space="preserve">Розсадний спосіб з одночасним затіненням і поливом виявляє стимулюючий вплив на </w:t>
      </w:r>
      <w:proofErr w:type="spellStart"/>
      <w:r w:rsidRPr="00973BEA">
        <w:rPr>
          <w:lang w:val="uk-UA"/>
        </w:rPr>
        <w:t>морфометричні</w:t>
      </w:r>
      <w:proofErr w:type="spellEnd"/>
      <w:r w:rsidRPr="00973BEA">
        <w:rPr>
          <w:lang w:val="uk-UA"/>
        </w:rPr>
        <w:t xml:space="preserve"> показники та формування врожаю насіння золототисячнику звичайного. Для вирощування рослин дослідні ділянки необхідно розміщувати поблизу лісосмуг, садів, лісових урочищ.</w:t>
      </w:r>
    </w:p>
    <w:p w:rsidR="00B47659" w:rsidRPr="00973BEA" w:rsidRDefault="00B47659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26"/>
        <w:jc w:val="both"/>
        <w:rPr>
          <w:lang w:val="uk-UA"/>
        </w:rPr>
      </w:pPr>
      <w:r w:rsidRPr="00973BEA">
        <w:rPr>
          <w:lang w:val="uk-UA"/>
        </w:rPr>
        <w:t xml:space="preserve">Під час періодів тривалої посухи рекомендуємо проводити полив, а для успішної перезимівлі покривати рослини тонким шаром снігу або соломи. </w:t>
      </w:r>
    </w:p>
    <w:p w:rsidR="00B47659" w:rsidRPr="00973BEA" w:rsidRDefault="00B47659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26"/>
        <w:jc w:val="both"/>
        <w:rPr>
          <w:lang w:val="uk-UA"/>
        </w:rPr>
      </w:pPr>
      <w:r w:rsidRPr="00973BEA">
        <w:rPr>
          <w:lang w:val="uk-UA"/>
        </w:rPr>
        <w:t>На першому році вегетації вирощування рослин золототисячнику звичайного ефективно за умов покриття прозорою поліетиленовою плівкою.</w:t>
      </w:r>
    </w:p>
    <w:p w:rsidR="00B47659" w:rsidRPr="00973BEA" w:rsidRDefault="00B47659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26"/>
        <w:jc w:val="both"/>
        <w:rPr>
          <w:lang w:val="uk-UA"/>
        </w:rPr>
      </w:pPr>
      <w:r w:rsidRPr="00973BEA">
        <w:rPr>
          <w:lang w:val="uk-UA"/>
        </w:rPr>
        <w:t>Підсів і подальше висаджування рослин в порушені антропогенною дією фітоценози сприяє відновленню їх чисельності в природних умовах Закарпаття.</w:t>
      </w:r>
    </w:p>
    <w:p w:rsidR="00B47659" w:rsidRPr="00973BEA" w:rsidRDefault="00B47659" w:rsidP="003711E6">
      <w:pPr>
        <w:pStyle w:val="2"/>
        <w:tabs>
          <w:tab w:val="left" w:pos="426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973BEA">
        <w:rPr>
          <w:rFonts w:ascii="Times New Roman" w:hAnsi="Times New Roman" w:cs="Times New Roman"/>
          <w:i w:val="0"/>
          <w:iCs w:val="0"/>
          <w:sz w:val="24"/>
          <w:szCs w:val="24"/>
        </w:rPr>
        <w:t>Література</w:t>
      </w:r>
      <w:proofErr w:type="spellEnd"/>
    </w:p>
    <w:p w:rsidR="00B47659" w:rsidRPr="00973BEA" w:rsidRDefault="00B47659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 w:rsidRPr="00973BEA">
        <w:t>1. Атлас ареалов и ресурсов лекарственных растений СССР,- М.: ГУГК, 1980.-С.</w:t>
      </w:r>
      <w:r w:rsidRPr="00973BEA">
        <w:rPr>
          <w:lang w:val="uk-UA"/>
        </w:rPr>
        <w:t xml:space="preserve"> </w:t>
      </w:r>
      <w:r w:rsidRPr="00973BEA">
        <w:t>243.</w:t>
      </w:r>
      <w:r w:rsidRPr="00973BEA">
        <w:rPr>
          <w:lang w:val="uk-UA"/>
        </w:rPr>
        <w:t xml:space="preserve"> </w:t>
      </w:r>
    </w:p>
    <w:p w:rsidR="00B47659" w:rsidRPr="00973BEA" w:rsidRDefault="00B47659" w:rsidP="00973B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84" w:firstLine="540"/>
        <w:jc w:val="both"/>
        <w:rPr>
          <w:color w:val="000000"/>
          <w:lang w:val="uk-UA"/>
        </w:rPr>
      </w:pPr>
      <w:r w:rsidRPr="00973BEA">
        <w:rPr>
          <w:lang w:val="uk-UA"/>
        </w:rPr>
        <w:t xml:space="preserve">2. </w:t>
      </w:r>
      <w:r w:rsidR="00972997" w:rsidRPr="00973BEA">
        <w:rPr>
          <w:lang w:val="uk-UA"/>
        </w:rPr>
        <w:t>ДЕРКАЧ В.О., ДЕРКАЧ С.І.</w:t>
      </w:r>
      <w:r w:rsidR="00B13AC8" w:rsidRPr="00B13AC8">
        <w:t xml:space="preserve"> </w:t>
      </w:r>
      <w:r w:rsidR="00B13AC8">
        <w:rPr>
          <w:lang w:val="uk-UA"/>
        </w:rPr>
        <w:t>2006</w:t>
      </w:r>
      <w:r w:rsidR="00972997" w:rsidRPr="00973BEA">
        <w:rPr>
          <w:lang w:val="uk-UA"/>
        </w:rPr>
        <w:t xml:space="preserve"> </w:t>
      </w:r>
      <w:r w:rsidRPr="00973BEA">
        <w:rPr>
          <w:lang w:val="uk-UA"/>
        </w:rPr>
        <w:t xml:space="preserve">Золототисячник звичайний: можливості та проблеми культивування // Мат. </w:t>
      </w:r>
      <w:proofErr w:type="spellStart"/>
      <w:r w:rsidRPr="00973BEA">
        <w:rPr>
          <w:lang w:val="uk-UA"/>
        </w:rPr>
        <w:t>міжнар</w:t>
      </w:r>
      <w:proofErr w:type="spellEnd"/>
      <w:r w:rsidRPr="00973BEA">
        <w:rPr>
          <w:lang w:val="uk-UA"/>
        </w:rPr>
        <w:t xml:space="preserve">. наук. </w:t>
      </w:r>
      <w:proofErr w:type="spellStart"/>
      <w:r w:rsidRPr="00973BEA">
        <w:rPr>
          <w:lang w:val="uk-UA"/>
        </w:rPr>
        <w:t>конф</w:t>
      </w:r>
      <w:proofErr w:type="spellEnd"/>
      <w:r w:rsidRPr="00973BEA">
        <w:rPr>
          <w:lang w:val="uk-UA"/>
        </w:rPr>
        <w:t xml:space="preserve">. </w:t>
      </w:r>
      <w:proofErr w:type="spellStart"/>
      <w:r w:rsidRPr="00973BEA">
        <w:rPr>
          <w:lang w:val="uk-UA"/>
        </w:rPr>
        <w:t>„Лікарські</w:t>
      </w:r>
      <w:proofErr w:type="spellEnd"/>
      <w:r w:rsidRPr="00973BEA">
        <w:rPr>
          <w:lang w:val="uk-UA"/>
        </w:rPr>
        <w:t xml:space="preserve"> рослини: традиції та перспективи </w:t>
      </w:r>
      <w:proofErr w:type="spellStart"/>
      <w:r w:rsidRPr="00973BEA">
        <w:rPr>
          <w:lang w:val="uk-UA"/>
        </w:rPr>
        <w:t>досліджень”</w:t>
      </w:r>
      <w:proofErr w:type="spellEnd"/>
      <w:r w:rsidRPr="00973BEA">
        <w:rPr>
          <w:lang w:val="uk-UA"/>
        </w:rPr>
        <w:t xml:space="preserve"> присвячена 90-річчя дослідної станції  лікарських рослин УААН </w:t>
      </w:r>
      <w:proofErr w:type="spellStart"/>
      <w:r w:rsidRPr="00973BEA">
        <w:rPr>
          <w:lang w:val="uk-UA"/>
        </w:rPr>
        <w:t>Березоточа</w:t>
      </w:r>
      <w:proofErr w:type="spellEnd"/>
      <w:r w:rsidRPr="00973BEA">
        <w:rPr>
          <w:lang w:val="uk-UA"/>
        </w:rPr>
        <w:t>, 12-14 липня 2006 р.,</w:t>
      </w:r>
      <w:r w:rsidR="00B653E4">
        <w:rPr>
          <w:lang w:val="uk-UA"/>
        </w:rPr>
        <w:t xml:space="preserve"> </w:t>
      </w:r>
      <w:r w:rsidRPr="00973BEA">
        <w:rPr>
          <w:lang w:val="uk-UA"/>
        </w:rPr>
        <w:t>Київ, 2006</w:t>
      </w:r>
      <w:r w:rsidRPr="00973BEA">
        <w:rPr>
          <w:color w:val="000000"/>
          <w:lang w:val="uk-UA"/>
        </w:rPr>
        <w:t>. - С. 104-107.</w:t>
      </w:r>
    </w:p>
    <w:p w:rsidR="00B47659" w:rsidRPr="00E133FA" w:rsidRDefault="00B47659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 w:rsidRPr="00973BEA">
        <w:t xml:space="preserve">3. </w:t>
      </w:r>
      <w:proofErr w:type="spellStart"/>
      <w:r w:rsidRPr="00973BEA">
        <w:t>Интродуцированные</w:t>
      </w:r>
      <w:proofErr w:type="spellEnd"/>
      <w:r w:rsidRPr="00973BEA">
        <w:t xml:space="preserve"> лекарственные растения / </w:t>
      </w:r>
      <w:proofErr w:type="spellStart"/>
      <w:r w:rsidRPr="00973BEA">
        <w:t>И.И.Сикура</w:t>
      </w:r>
      <w:proofErr w:type="spellEnd"/>
      <w:r w:rsidRPr="00973BEA">
        <w:t xml:space="preserve">, Н.Е.Антонюк, </w:t>
      </w:r>
      <w:proofErr w:type="spellStart"/>
      <w:r w:rsidRPr="00973BEA">
        <w:t>А.А.Пироженко</w:t>
      </w:r>
      <w:proofErr w:type="spellEnd"/>
      <w:r w:rsidRPr="00973BEA">
        <w:t xml:space="preserve"> /</w:t>
      </w:r>
      <w:r w:rsidRPr="00973BEA">
        <w:rPr>
          <w:lang w:val="uk-UA"/>
        </w:rPr>
        <w:t xml:space="preserve"> </w:t>
      </w:r>
      <w:r w:rsidRPr="00973BEA">
        <w:t xml:space="preserve">Под ред. А.М.Гродзинского.- </w:t>
      </w:r>
      <w:r w:rsidR="00B13AC8" w:rsidRPr="00973BEA">
        <w:t>1983</w:t>
      </w:r>
      <w:r w:rsidR="00B13AC8">
        <w:rPr>
          <w:lang w:val="uk-UA"/>
        </w:rPr>
        <w:t xml:space="preserve">. </w:t>
      </w:r>
      <w:r w:rsidRPr="00E133FA">
        <w:rPr>
          <w:lang w:val="uk-UA"/>
        </w:rPr>
        <w:t>К</w:t>
      </w:r>
      <w:r w:rsidR="00E133FA">
        <w:rPr>
          <w:lang w:val="uk-UA"/>
        </w:rPr>
        <w:t>иїв</w:t>
      </w:r>
      <w:r w:rsidR="00B653E4">
        <w:rPr>
          <w:lang w:val="uk-UA"/>
        </w:rPr>
        <w:t>,</w:t>
      </w:r>
      <w:r w:rsidRPr="00E133FA">
        <w:rPr>
          <w:lang w:val="uk-UA"/>
        </w:rPr>
        <w:t xml:space="preserve"> С. 54-60.</w:t>
      </w:r>
    </w:p>
    <w:p w:rsidR="00B47659" w:rsidRPr="00973BEA" w:rsidRDefault="00B47659" w:rsidP="00973B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84" w:firstLine="540"/>
        <w:jc w:val="both"/>
        <w:rPr>
          <w:color w:val="000000"/>
          <w:lang w:val="uk-UA"/>
        </w:rPr>
      </w:pPr>
      <w:r w:rsidRPr="00973BEA">
        <w:rPr>
          <w:color w:val="000000"/>
          <w:lang w:val="uk-UA"/>
        </w:rPr>
        <w:t xml:space="preserve">4. </w:t>
      </w:r>
      <w:proofErr w:type="spellStart"/>
      <w:r w:rsidR="00E133FA" w:rsidRPr="00973BEA">
        <w:rPr>
          <w:color w:val="000000"/>
          <w:lang w:val="uk-UA"/>
        </w:rPr>
        <w:t>КРИСЬ</w:t>
      </w:r>
      <w:proofErr w:type="spellEnd"/>
      <w:r w:rsidR="00E133FA" w:rsidRPr="00973BEA">
        <w:rPr>
          <w:color w:val="000000"/>
          <w:lang w:val="uk-UA"/>
        </w:rPr>
        <w:t xml:space="preserve"> О.П. </w:t>
      </w:r>
      <w:r w:rsidR="00E133FA">
        <w:rPr>
          <w:color w:val="000000"/>
          <w:lang w:val="uk-UA"/>
        </w:rPr>
        <w:t xml:space="preserve">1994 </w:t>
      </w:r>
      <w:r w:rsidRPr="00973BEA">
        <w:rPr>
          <w:color w:val="000000"/>
          <w:lang w:val="uk-UA"/>
        </w:rPr>
        <w:t xml:space="preserve">Сучасний стан та перспективи охорони флори і рослинності </w:t>
      </w:r>
      <w:proofErr w:type="spellStart"/>
      <w:r w:rsidRPr="00973BEA">
        <w:rPr>
          <w:color w:val="000000"/>
          <w:lang w:val="uk-UA"/>
        </w:rPr>
        <w:t>післялісових</w:t>
      </w:r>
      <w:proofErr w:type="spellEnd"/>
      <w:r w:rsidRPr="00973BEA">
        <w:rPr>
          <w:color w:val="000000"/>
          <w:lang w:val="uk-UA"/>
        </w:rPr>
        <w:t xml:space="preserve"> лук Українських Карпат // Проблеми агропромислового комплексу Карпат: </w:t>
      </w:r>
      <w:proofErr w:type="spellStart"/>
      <w:r w:rsidRPr="00973BEA">
        <w:rPr>
          <w:color w:val="000000"/>
          <w:lang w:val="uk-UA"/>
        </w:rPr>
        <w:t>Міжвід</w:t>
      </w:r>
      <w:proofErr w:type="spellEnd"/>
      <w:r w:rsidRPr="00973BEA">
        <w:rPr>
          <w:color w:val="000000"/>
          <w:lang w:val="uk-UA"/>
        </w:rPr>
        <w:t xml:space="preserve">. </w:t>
      </w:r>
      <w:proofErr w:type="spellStart"/>
      <w:r w:rsidRPr="00973BEA">
        <w:rPr>
          <w:color w:val="000000"/>
          <w:lang w:val="uk-UA"/>
        </w:rPr>
        <w:t>темат</w:t>
      </w:r>
      <w:proofErr w:type="spellEnd"/>
      <w:r w:rsidRPr="00973BEA">
        <w:rPr>
          <w:color w:val="000000"/>
          <w:lang w:val="uk-UA"/>
        </w:rPr>
        <w:t xml:space="preserve">. наук. зб. — Б. </w:t>
      </w:r>
      <w:proofErr w:type="spellStart"/>
      <w:r w:rsidRPr="00973BEA">
        <w:rPr>
          <w:color w:val="000000"/>
          <w:lang w:val="uk-UA"/>
        </w:rPr>
        <w:t>Бакта</w:t>
      </w:r>
      <w:proofErr w:type="spellEnd"/>
      <w:r w:rsidRPr="00973BEA">
        <w:rPr>
          <w:color w:val="000000"/>
          <w:lang w:val="uk-UA"/>
        </w:rPr>
        <w:t>, 1994. - С. 79-86.</w:t>
      </w:r>
    </w:p>
    <w:p w:rsidR="00B47659" w:rsidRPr="00FB0A6E" w:rsidRDefault="00B47659" w:rsidP="00973BEA">
      <w:pPr>
        <w:shd w:val="clear" w:color="auto" w:fill="FFFFFF"/>
        <w:tabs>
          <w:tab w:val="left" w:pos="426"/>
        </w:tabs>
        <w:spacing w:line="360" w:lineRule="auto"/>
        <w:ind w:firstLine="540"/>
        <w:jc w:val="both"/>
        <w:rPr>
          <w:lang w:val="uk-UA"/>
        </w:rPr>
      </w:pPr>
      <w:r w:rsidRPr="00973BEA">
        <w:rPr>
          <w:lang w:val="uk-UA"/>
        </w:rPr>
        <w:t xml:space="preserve">5. </w:t>
      </w:r>
      <w:r w:rsidR="00E133FA" w:rsidRPr="00973BEA">
        <w:rPr>
          <w:lang w:val="uk-UA"/>
        </w:rPr>
        <w:t xml:space="preserve">КОСЕЦЬ М.І. </w:t>
      </w:r>
      <w:r w:rsidR="00B653E4">
        <w:rPr>
          <w:lang w:val="uk-UA"/>
        </w:rPr>
        <w:t xml:space="preserve">1954 </w:t>
      </w:r>
      <w:r w:rsidRPr="00973BEA">
        <w:rPr>
          <w:lang w:val="uk-UA"/>
        </w:rPr>
        <w:t>Рослинність Закарпатської області УРСР. К</w:t>
      </w:r>
      <w:r w:rsidR="00FB0A6E">
        <w:rPr>
          <w:lang w:val="uk-UA"/>
        </w:rPr>
        <w:t>иїв,</w:t>
      </w:r>
      <w:r w:rsidRPr="00973BEA">
        <w:rPr>
          <w:lang w:val="uk-UA"/>
        </w:rPr>
        <w:t xml:space="preserve"> 1954</w:t>
      </w:r>
      <w:r w:rsidR="00FB0A6E">
        <w:rPr>
          <w:color w:val="000000"/>
          <w:lang w:val="uk-UA"/>
        </w:rPr>
        <w:t xml:space="preserve">, </w:t>
      </w:r>
      <w:r w:rsidRPr="00973BEA">
        <w:rPr>
          <w:color w:val="000000"/>
          <w:lang w:val="uk-UA"/>
        </w:rPr>
        <w:t xml:space="preserve"> 340 с.</w:t>
      </w:r>
    </w:p>
    <w:p w:rsidR="00B47659" w:rsidRPr="00FB0A6E" w:rsidRDefault="00B47659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 w:rsidRPr="00973BEA">
        <w:rPr>
          <w:color w:val="000000"/>
          <w:lang w:val="uk-UA"/>
        </w:rPr>
        <w:t xml:space="preserve">6. </w:t>
      </w:r>
      <w:r w:rsidR="00B653E4" w:rsidRPr="00973BEA">
        <w:rPr>
          <w:color w:val="000000"/>
          <w:lang w:val="uk-UA"/>
        </w:rPr>
        <w:t xml:space="preserve">МАНІВЧУК Ю.В. </w:t>
      </w:r>
      <w:r w:rsidR="00B653E4">
        <w:rPr>
          <w:color w:val="000000"/>
          <w:lang w:val="uk-UA"/>
        </w:rPr>
        <w:t xml:space="preserve">2003 </w:t>
      </w:r>
      <w:r w:rsidRPr="00973BEA">
        <w:rPr>
          <w:color w:val="000000"/>
          <w:lang w:val="uk-UA"/>
        </w:rPr>
        <w:t xml:space="preserve">Екологічно ефективні системи підвищення продуктивності лучних біогеоценозів Карпат. </w:t>
      </w:r>
      <w:r w:rsidR="00B653E4" w:rsidRPr="00973BEA">
        <w:rPr>
          <w:color w:val="000000"/>
          <w:lang w:val="uk-UA"/>
        </w:rPr>
        <w:t>2003</w:t>
      </w:r>
      <w:r w:rsidR="00B653E4">
        <w:rPr>
          <w:color w:val="000000"/>
          <w:lang w:val="uk-UA"/>
        </w:rPr>
        <w:t xml:space="preserve"> </w:t>
      </w:r>
      <w:r w:rsidRPr="00973BEA">
        <w:rPr>
          <w:color w:val="000000"/>
          <w:lang w:val="uk-UA"/>
        </w:rPr>
        <w:t xml:space="preserve"> К</w:t>
      </w:r>
      <w:r w:rsidR="00B653E4">
        <w:rPr>
          <w:color w:val="000000"/>
          <w:lang w:val="uk-UA"/>
        </w:rPr>
        <w:t>иїв</w:t>
      </w:r>
      <w:r w:rsidR="00FB0A6E">
        <w:rPr>
          <w:color w:val="000000"/>
          <w:lang w:val="uk-UA"/>
        </w:rPr>
        <w:t>,</w:t>
      </w:r>
      <w:r w:rsidRPr="00973BEA">
        <w:rPr>
          <w:color w:val="000000"/>
          <w:lang w:val="uk-UA"/>
        </w:rPr>
        <w:t xml:space="preserve"> 294 с.</w:t>
      </w:r>
    </w:p>
    <w:p w:rsidR="00B47659" w:rsidRPr="00973BEA" w:rsidRDefault="00B47659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 w:rsidRPr="00973BEA">
        <w:rPr>
          <w:lang w:val="uk-UA"/>
        </w:rPr>
        <w:t xml:space="preserve">7. </w:t>
      </w:r>
      <w:r w:rsidR="00FB0A6E" w:rsidRPr="00973BEA">
        <w:rPr>
          <w:lang w:val="uk-UA"/>
        </w:rPr>
        <w:t xml:space="preserve">ТОВСТУХА Є.С. </w:t>
      </w:r>
      <w:r w:rsidR="00FB0A6E">
        <w:rPr>
          <w:lang w:val="uk-UA"/>
        </w:rPr>
        <w:t xml:space="preserve">1990 </w:t>
      </w:r>
      <w:r w:rsidRPr="00973BEA">
        <w:rPr>
          <w:lang w:val="uk-UA"/>
        </w:rPr>
        <w:t>Фітотерапія.</w:t>
      </w:r>
      <w:r w:rsidR="00FB0A6E">
        <w:rPr>
          <w:lang w:val="uk-UA"/>
        </w:rPr>
        <w:t xml:space="preserve"> </w:t>
      </w:r>
      <w:r w:rsidRPr="00973BEA">
        <w:rPr>
          <w:lang w:val="uk-UA"/>
        </w:rPr>
        <w:t>К</w:t>
      </w:r>
      <w:r w:rsidR="00FB0A6E">
        <w:rPr>
          <w:lang w:val="uk-UA"/>
        </w:rPr>
        <w:t>иїв</w:t>
      </w:r>
      <w:r w:rsidRPr="00973BEA">
        <w:rPr>
          <w:lang w:val="uk-UA"/>
        </w:rPr>
        <w:t xml:space="preserve"> 1990</w:t>
      </w:r>
      <w:r w:rsidR="00FB0A6E">
        <w:rPr>
          <w:lang w:val="uk-UA"/>
        </w:rPr>
        <w:t xml:space="preserve">, </w:t>
      </w:r>
      <w:r w:rsidRPr="00973BEA">
        <w:rPr>
          <w:lang w:val="uk-UA"/>
        </w:rPr>
        <w:t xml:space="preserve"> С. 68-69.</w:t>
      </w:r>
    </w:p>
    <w:p w:rsidR="00B47659" w:rsidRPr="00973BEA" w:rsidRDefault="00B47659" w:rsidP="00973BE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 w:rsidRPr="00973BEA">
        <w:rPr>
          <w:lang w:val="uk-UA"/>
        </w:rPr>
        <w:lastRenderedPageBreak/>
        <w:t xml:space="preserve">8. </w:t>
      </w:r>
      <w:r w:rsidR="00FB0A6E" w:rsidRPr="00973BEA">
        <w:rPr>
          <w:lang w:val="uk-UA"/>
        </w:rPr>
        <w:t xml:space="preserve">ФЕКЕТА І.Ю. </w:t>
      </w:r>
      <w:r w:rsidR="00FB0A6E">
        <w:rPr>
          <w:lang w:val="uk-UA"/>
        </w:rPr>
        <w:t xml:space="preserve">1999 </w:t>
      </w:r>
      <w:r w:rsidRPr="00973BEA">
        <w:rPr>
          <w:lang w:val="uk-UA"/>
        </w:rPr>
        <w:t xml:space="preserve">Біологічна характеристика популяцій та опис морфологічних ознак </w:t>
      </w:r>
      <w:proofErr w:type="spellStart"/>
      <w:r w:rsidRPr="00973BEA">
        <w:rPr>
          <w:lang w:val="uk-UA"/>
        </w:rPr>
        <w:t>золототисячника</w:t>
      </w:r>
      <w:proofErr w:type="spellEnd"/>
      <w:r w:rsidRPr="00973BEA">
        <w:rPr>
          <w:lang w:val="uk-UA"/>
        </w:rPr>
        <w:t xml:space="preserve"> малого (</w:t>
      </w:r>
      <w:proofErr w:type="spellStart"/>
      <w:r w:rsidRPr="00973BEA">
        <w:rPr>
          <w:lang w:val="en-US"/>
        </w:rPr>
        <w:t>Centaurium</w:t>
      </w:r>
      <w:proofErr w:type="spellEnd"/>
      <w:r w:rsidRPr="00973BEA">
        <w:rPr>
          <w:lang w:val="uk-UA"/>
        </w:rPr>
        <w:t xml:space="preserve"> </w:t>
      </w:r>
      <w:proofErr w:type="spellStart"/>
      <w:r w:rsidRPr="00973BEA">
        <w:rPr>
          <w:lang w:val="en-US"/>
        </w:rPr>
        <w:t>erythraea</w:t>
      </w:r>
      <w:proofErr w:type="spellEnd"/>
      <w:r w:rsidRPr="00973BEA">
        <w:rPr>
          <w:lang w:val="uk-UA"/>
        </w:rPr>
        <w:t xml:space="preserve"> </w:t>
      </w:r>
      <w:proofErr w:type="spellStart"/>
      <w:r w:rsidRPr="00973BEA">
        <w:rPr>
          <w:lang w:val="en-US"/>
        </w:rPr>
        <w:t>Rafh</w:t>
      </w:r>
      <w:proofErr w:type="spellEnd"/>
      <w:r w:rsidRPr="00973BEA">
        <w:rPr>
          <w:lang w:val="uk-UA"/>
        </w:rPr>
        <w:t>.) // Науковий вісник Ужгородського національного університе</w:t>
      </w:r>
      <w:r w:rsidR="00FB0A6E">
        <w:rPr>
          <w:lang w:val="uk-UA"/>
        </w:rPr>
        <w:t xml:space="preserve">ту. Серія </w:t>
      </w:r>
      <w:proofErr w:type="spellStart"/>
      <w:r w:rsidR="00FB0A6E">
        <w:rPr>
          <w:lang w:val="uk-UA"/>
        </w:rPr>
        <w:t>Біологія.–</w:t>
      </w:r>
      <w:proofErr w:type="spellEnd"/>
      <w:r w:rsidR="00FB0A6E">
        <w:rPr>
          <w:lang w:val="uk-UA"/>
        </w:rPr>
        <w:t xml:space="preserve"> 1999.- №6, </w:t>
      </w:r>
      <w:r w:rsidRPr="00973BEA">
        <w:rPr>
          <w:lang w:val="uk-UA"/>
        </w:rPr>
        <w:t>С. 58-61.</w:t>
      </w:r>
    </w:p>
    <w:sectPr w:rsidR="00B47659" w:rsidRPr="00973BEA" w:rsidSect="000A61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7659"/>
    <w:rsid w:val="000075F3"/>
    <w:rsid w:val="0002153F"/>
    <w:rsid w:val="00034571"/>
    <w:rsid w:val="000509F4"/>
    <w:rsid w:val="00056FA3"/>
    <w:rsid w:val="00084B2F"/>
    <w:rsid w:val="000A61DE"/>
    <w:rsid w:val="000A6C00"/>
    <w:rsid w:val="000D6479"/>
    <w:rsid w:val="000E0B77"/>
    <w:rsid w:val="000F2F7B"/>
    <w:rsid w:val="00110419"/>
    <w:rsid w:val="00114882"/>
    <w:rsid w:val="00116348"/>
    <w:rsid w:val="00121DC5"/>
    <w:rsid w:val="00136DAE"/>
    <w:rsid w:val="001451E0"/>
    <w:rsid w:val="0016676B"/>
    <w:rsid w:val="00180214"/>
    <w:rsid w:val="00190997"/>
    <w:rsid w:val="00194399"/>
    <w:rsid w:val="001A4682"/>
    <w:rsid w:val="001F0855"/>
    <w:rsid w:val="001F5417"/>
    <w:rsid w:val="00203D41"/>
    <w:rsid w:val="002046A6"/>
    <w:rsid w:val="00223C3C"/>
    <w:rsid w:val="00265F48"/>
    <w:rsid w:val="002B06FF"/>
    <w:rsid w:val="002C4415"/>
    <w:rsid w:val="002D6D2A"/>
    <w:rsid w:val="00300931"/>
    <w:rsid w:val="0031297B"/>
    <w:rsid w:val="0031338D"/>
    <w:rsid w:val="00316DDA"/>
    <w:rsid w:val="00323F98"/>
    <w:rsid w:val="0036390D"/>
    <w:rsid w:val="00370737"/>
    <w:rsid w:val="003711E6"/>
    <w:rsid w:val="003718FE"/>
    <w:rsid w:val="00384747"/>
    <w:rsid w:val="0039286F"/>
    <w:rsid w:val="003E7F4A"/>
    <w:rsid w:val="003F0ED6"/>
    <w:rsid w:val="003F56ED"/>
    <w:rsid w:val="00412B30"/>
    <w:rsid w:val="0043165D"/>
    <w:rsid w:val="004343A4"/>
    <w:rsid w:val="004469E7"/>
    <w:rsid w:val="00486C51"/>
    <w:rsid w:val="004A3CE7"/>
    <w:rsid w:val="004B7019"/>
    <w:rsid w:val="004F6480"/>
    <w:rsid w:val="005326B9"/>
    <w:rsid w:val="00566850"/>
    <w:rsid w:val="005B7B2F"/>
    <w:rsid w:val="005C4D0F"/>
    <w:rsid w:val="005F49EC"/>
    <w:rsid w:val="00600535"/>
    <w:rsid w:val="006063E1"/>
    <w:rsid w:val="006264ED"/>
    <w:rsid w:val="006339D8"/>
    <w:rsid w:val="0065009F"/>
    <w:rsid w:val="00666005"/>
    <w:rsid w:val="00683146"/>
    <w:rsid w:val="00684613"/>
    <w:rsid w:val="0069299C"/>
    <w:rsid w:val="006A271C"/>
    <w:rsid w:val="006A62D9"/>
    <w:rsid w:val="006E7ABD"/>
    <w:rsid w:val="00705FF0"/>
    <w:rsid w:val="00706110"/>
    <w:rsid w:val="00721F4B"/>
    <w:rsid w:val="0073288C"/>
    <w:rsid w:val="00747ADF"/>
    <w:rsid w:val="0078376D"/>
    <w:rsid w:val="007A13C8"/>
    <w:rsid w:val="007A7669"/>
    <w:rsid w:val="007C045C"/>
    <w:rsid w:val="007C50B6"/>
    <w:rsid w:val="007C63AA"/>
    <w:rsid w:val="007E4B73"/>
    <w:rsid w:val="007E503D"/>
    <w:rsid w:val="007F0514"/>
    <w:rsid w:val="007F1F19"/>
    <w:rsid w:val="007F3047"/>
    <w:rsid w:val="0080394C"/>
    <w:rsid w:val="008768F9"/>
    <w:rsid w:val="00877C60"/>
    <w:rsid w:val="008828B8"/>
    <w:rsid w:val="00892805"/>
    <w:rsid w:val="008A2D2C"/>
    <w:rsid w:val="008B7B10"/>
    <w:rsid w:val="008D615A"/>
    <w:rsid w:val="008F5FCB"/>
    <w:rsid w:val="00905AB1"/>
    <w:rsid w:val="00906A8D"/>
    <w:rsid w:val="00913869"/>
    <w:rsid w:val="00916E49"/>
    <w:rsid w:val="00927D89"/>
    <w:rsid w:val="0093057F"/>
    <w:rsid w:val="00943E01"/>
    <w:rsid w:val="00945E1C"/>
    <w:rsid w:val="0096131D"/>
    <w:rsid w:val="00972997"/>
    <w:rsid w:val="00973BEA"/>
    <w:rsid w:val="009973DE"/>
    <w:rsid w:val="009B5BDD"/>
    <w:rsid w:val="009C23BD"/>
    <w:rsid w:val="009C7C85"/>
    <w:rsid w:val="009D1BB9"/>
    <w:rsid w:val="009E11A4"/>
    <w:rsid w:val="00A06F72"/>
    <w:rsid w:val="00A07D5B"/>
    <w:rsid w:val="00A13139"/>
    <w:rsid w:val="00A4533C"/>
    <w:rsid w:val="00A5008D"/>
    <w:rsid w:val="00A5015A"/>
    <w:rsid w:val="00A5082C"/>
    <w:rsid w:val="00A509F4"/>
    <w:rsid w:val="00A73A49"/>
    <w:rsid w:val="00A755C4"/>
    <w:rsid w:val="00A806A5"/>
    <w:rsid w:val="00AA02D1"/>
    <w:rsid w:val="00AD0BFE"/>
    <w:rsid w:val="00AD757A"/>
    <w:rsid w:val="00AE14CD"/>
    <w:rsid w:val="00AF5C32"/>
    <w:rsid w:val="00B13AC8"/>
    <w:rsid w:val="00B2781F"/>
    <w:rsid w:val="00B406AF"/>
    <w:rsid w:val="00B47659"/>
    <w:rsid w:val="00B653E4"/>
    <w:rsid w:val="00B94D5D"/>
    <w:rsid w:val="00BA250B"/>
    <w:rsid w:val="00BB736A"/>
    <w:rsid w:val="00BC2043"/>
    <w:rsid w:val="00BC63F0"/>
    <w:rsid w:val="00BE66C1"/>
    <w:rsid w:val="00BE66D4"/>
    <w:rsid w:val="00BE7839"/>
    <w:rsid w:val="00C03F68"/>
    <w:rsid w:val="00C12D46"/>
    <w:rsid w:val="00C16E78"/>
    <w:rsid w:val="00C20326"/>
    <w:rsid w:val="00C3349B"/>
    <w:rsid w:val="00CA082D"/>
    <w:rsid w:val="00CA0ED3"/>
    <w:rsid w:val="00CA6BCF"/>
    <w:rsid w:val="00CD37A8"/>
    <w:rsid w:val="00CD6E98"/>
    <w:rsid w:val="00CE311C"/>
    <w:rsid w:val="00D1257E"/>
    <w:rsid w:val="00D2148D"/>
    <w:rsid w:val="00D27CFC"/>
    <w:rsid w:val="00D374ED"/>
    <w:rsid w:val="00D52BEA"/>
    <w:rsid w:val="00D6091C"/>
    <w:rsid w:val="00D6219F"/>
    <w:rsid w:val="00D63C33"/>
    <w:rsid w:val="00D7006C"/>
    <w:rsid w:val="00DB7BB4"/>
    <w:rsid w:val="00DE2921"/>
    <w:rsid w:val="00E133FA"/>
    <w:rsid w:val="00E14401"/>
    <w:rsid w:val="00E54033"/>
    <w:rsid w:val="00E57697"/>
    <w:rsid w:val="00E65AF0"/>
    <w:rsid w:val="00E877C3"/>
    <w:rsid w:val="00E9389B"/>
    <w:rsid w:val="00EB1401"/>
    <w:rsid w:val="00EC1E93"/>
    <w:rsid w:val="00EF28DC"/>
    <w:rsid w:val="00EF7D62"/>
    <w:rsid w:val="00F00D22"/>
    <w:rsid w:val="00F0231C"/>
    <w:rsid w:val="00F26320"/>
    <w:rsid w:val="00F410D3"/>
    <w:rsid w:val="00F83ACC"/>
    <w:rsid w:val="00F85284"/>
    <w:rsid w:val="00F930F3"/>
    <w:rsid w:val="00F9544B"/>
    <w:rsid w:val="00FB0A6E"/>
    <w:rsid w:val="00FC042D"/>
    <w:rsid w:val="00FD6238"/>
    <w:rsid w:val="00FE3269"/>
    <w:rsid w:val="00FE4DDB"/>
    <w:rsid w:val="00FF22EC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7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6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47659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B476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rsid w:val="00B4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51E0"/>
    <w:pPr>
      <w:ind w:left="720"/>
      <w:contextualSpacing/>
    </w:pPr>
  </w:style>
  <w:style w:type="character" w:customStyle="1" w:styleId="7">
    <w:name w:val="Основной текст (7)_"/>
    <w:link w:val="70"/>
    <w:uiPriority w:val="99"/>
    <w:locked/>
    <w:rsid w:val="009B5BDD"/>
    <w:rPr>
      <w:sz w:val="21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9B5BDD"/>
    <w:pPr>
      <w:shd w:val="clear" w:color="auto" w:fill="FFFFFF"/>
      <w:spacing w:before="60" w:after="480" w:line="240" w:lineRule="atLeast"/>
    </w:pPr>
    <w:rPr>
      <w:rFonts w:asciiTheme="minorHAnsi" w:eastAsiaTheme="minorHAnsi" w:hAnsiTheme="minorHAnsi" w:cstheme="minorBidi"/>
      <w:sz w:val="21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5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User</dc:creator>
  <cp:lastModifiedBy>Professional User</cp:lastModifiedBy>
  <cp:revision>3</cp:revision>
  <dcterms:created xsi:type="dcterms:W3CDTF">2015-05-26T19:29:00Z</dcterms:created>
  <dcterms:modified xsi:type="dcterms:W3CDTF">2015-05-31T21:26:00Z</dcterms:modified>
</cp:coreProperties>
</file>