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7D7" w:rsidRDefault="008B57D7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УДК </w:t>
      </w:r>
      <w:r w:rsidRPr="008B57D7">
        <w:rPr>
          <w:rFonts w:ascii="Times New Roman"/>
          <w:sz w:val="28"/>
          <w:szCs w:val="28"/>
        </w:rPr>
        <w:t>331.25</w:t>
      </w:r>
    </w:p>
    <w:p w:rsidR="00DD620D" w:rsidRPr="00DD620D" w:rsidRDefault="008B57D7" w:rsidP="008B57D7">
      <w:pPr>
        <w:spacing w:after="0" w:line="360" w:lineRule="auto"/>
        <w:ind w:firstLine="709"/>
        <w:jc w:val="right"/>
        <w:rPr>
          <w:rFonts w:ascii="Times New Roman"/>
          <w:b/>
          <w:i/>
          <w:sz w:val="28"/>
          <w:szCs w:val="28"/>
        </w:rPr>
      </w:pPr>
      <w:proofErr w:type="spellStart"/>
      <w:r w:rsidRPr="00DD620D">
        <w:rPr>
          <w:rFonts w:ascii="Times New Roman"/>
          <w:b/>
          <w:i/>
          <w:sz w:val="28"/>
          <w:szCs w:val="28"/>
        </w:rPr>
        <w:t>Брітченко</w:t>
      </w:r>
      <w:proofErr w:type="spellEnd"/>
      <w:r w:rsidRPr="00DD620D">
        <w:rPr>
          <w:rFonts w:ascii="Times New Roman"/>
          <w:b/>
          <w:i/>
          <w:sz w:val="28"/>
          <w:szCs w:val="28"/>
        </w:rPr>
        <w:t xml:space="preserve"> І.Г., </w:t>
      </w:r>
    </w:p>
    <w:p w:rsidR="00DD620D" w:rsidRPr="00DD620D" w:rsidRDefault="008B57D7" w:rsidP="008B57D7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proofErr w:type="spellStart"/>
      <w:r>
        <w:rPr>
          <w:rFonts w:ascii="Times New Roman"/>
          <w:sz w:val="28"/>
          <w:szCs w:val="28"/>
        </w:rPr>
        <w:t>д.е.н</w:t>
      </w:r>
      <w:proofErr w:type="spellEnd"/>
      <w:r>
        <w:rPr>
          <w:rFonts w:ascii="Times New Roman"/>
          <w:sz w:val="28"/>
          <w:szCs w:val="28"/>
        </w:rPr>
        <w:t xml:space="preserve">., </w:t>
      </w:r>
      <w:r w:rsidRPr="00DD620D">
        <w:rPr>
          <w:rFonts w:ascii="Times New Roman"/>
          <w:sz w:val="28"/>
          <w:szCs w:val="28"/>
        </w:rPr>
        <w:t xml:space="preserve">завідувач кафедри фінансів </w:t>
      </w:r>
    </w:p>
    <w:p w:rsidR="00DD620D" w:rsidRPr="00DD620D" w:rsidRDefault="008B57D7" w:rsidP="008B57D7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r w:rsidRPr="00DD620D">
        <w:rPr>
          <w:rFonts w:ascii="Times New Roman"/>
          <w:sz w:val="28"/>
          <w:szCs w:val="28"/>
        </w:rPr>
        <w:t xml:space="preserve">Ужгородського торговельно-економічного інституту </w:t>
      </w:r>
    </w:p>
    <w:p w:rsidR="008B57D7" w:rsidRDefault="008B57D7" w:rsidP="008B57D7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r w:rsidRPr="00DD620D">
        <w:rPr>
          <w:rFonts w:ascii="Times New Roman"/>
          <w:sz w:val="28"/>
          <w:szCs w:val="28"/>
        </w:rPr>
        <w:t>Київського національного торговельно-економічного університету</w:t>
      </w:r>
      <w:r w:rsidRPr="00DD620D">
        <w:rPr>
          <w:rFonts w:ascii="Times New Roman"/>
          <w:sz w:val="28"/>
          <w:szCs w:val="28"/>
        </w:rPr>
        <w:t> </w:t>
      </w:r>
    </w:p>
    <w:p w:rsidR="00DD620D" w:rsidRPr="00DD620D" w:rsidRDefault="00DD620D" w:rsidP="008B57D7">
      <w:pPr>
        <w:spacing w:after="0" w:line="360" w:lineRule="auto"/>
        <w:ind w:firstLine="709"/>
        <w:jc w:val="right"/>
        <w:rPr>
          <w:rFonts w:ascii="Times New Roman"/>
          <w:b/>
          <w:i/>
          <w:sz w:val="28"/>
          <w:szCs w:val="28"/>
        </w:rPr>
      </w:pPr>
      <w:r w:rsidRPr="00DD620D">
        <w:rPr>
          <w:rFonts w:ascii="Times New Roman"/>
          <w:b/>
          <w:i/>
          <w:sz w:val="28"/>
          <w:szCs w:val="28"/>
        </w:rPr>
        <w:t>Свириденко О.О.</w:t>
      </w:r>
    </w:p>
    <w:p w:rsidR="00DD620D" w:rsidRPr="00DD620D" w:rsidRDefault="00DD620D" w:rsidP="008B57D7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аспірант Державного науково-дослідного інституту інформатизації та моделювання економіки Міністерства економічного розвитку та торгівлі </w:t>
      </w:r>
    </w:p>
    <w:p w:rsidR="00DD620D" w:rsidRDefault="00DD620D" w:rsidP="008B57D7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</w:p>
    <w:p w:rsidR="00DD620D" w:rsidRDefault="00DD620D" w:rsidP="00DD620D">
      <w:pPr>
        <w:spacing w:after="0" w:line="360" w:lineRule="auto"/>
        <w:jc w:val="center"/>
        <w:rPr>
          <w:rFonts w:ascii="Times New Roman"/>
          <w:b/>
          <w:sz w:val="28"/>
          <w:szCs w:val="28"/>
        </w:rPr>
      </w:pPr>
      <w:r w:rsidRPr="00DD620D">
        <w:rPr>
          <w:rFonts w:ascii="Times New Roman"/>
          <w:b/>
          <w:sz w:val="28"/>
          <w:szCs w:val="28"/>
        </w:rPr>
        <w:t>ЗАРУБІЖНИЙ ДОСВІД РЕГУЛЮВАННЯ ІНВЕСТИЦІЙНОЇ ДІЯЛЬНОСТІ НЕДЕРЖАВНИХ ПЕНСІЙНИХ</w:t>
      </w:r>
      <w:r>
        <w:rPr>
          <w:rFonts w:ascii="Times New Roman"/>
          <w:b/>
          <w:sz w:val="28"/>
          <w:szCs w:val="28"/>
        </w:rPr>
        <w:t xml:space="preserve"> ФОНДІВ</w:t>
      </w:r>
    </w:p>
    <w:p w:rsidR="00DD620D" w:rsidRDefault="00DD620D" w:rsidP="00DD620D">
      <w:pPr>
        <w:spacing w:after="0" w:line="240" w:lineRule="auto"/>
        <w:ind w:firstLine="720"/>
        <w:jc w:val="both"/>
        <w:rPr>
          <w:rFonts w:eastAsia="TimesNewRomanPSMT"/>
          <w:b/>
          <w:i/>
          <w:szCs w:val="28"/>
          <w:lang w:eastAsia="ru-RU"/>
        </w:rPr>
      </w:pPr>
    </w:p>
    <w:p w:rsidR="00DD620D" w:rsidRPr="00D34681" w:rsidRDefault="00DD620D" w:rsidP="00D34681">
      <w:pPr>
        <w:spacing w:after="0" w:line="360" w:lineRule="auto"/>
        <w:ind w:firstLine="720"/>
        <w:jc w:val="both"/>
        <w:rPr>
          <w:rFonts w:eastAsia="TimesNewRomanPSMT"/>
          <w:szCs w:val="28"/>
          <w:lang w:val="ru-RU" w:eastAsia="ru-RU"/>
        </w:rPr>
      </w:pPr>
      <w:r w:rsidRPr="00D34681">
        <w:rPr>
          <w:rFonts w:eastAsia="TimesNewRomanPSMT"/>
          <w:b/>
          <w:i/>
          <w:sz w:val="28"/>
          <w:szCs w:val="28"/>
          <w:lang w:eastAsia="ru-RU"/>
        </w:rPr>
        <w:t>Анотація</w:t>
      </w:r>
      <w:r w:rsidRPr="00D34681">
        <w:rPr>
          <w:rFonts w:eastAsia="TimesNewRomanPSMT"/>
          <w:b/>
          <w:i/>
          <w:sz w:val="28"/>
          <w:szCs w:val="28"/>
          <w:lang w:eastAsia="ru-RU"/>
        </w:rPr>
        <w:t xml:space="preserve">. </w:t>
      </w:r>
      <w:r w:rsidR="00A209BB" w:rsidRPr="00D34681">
        <w:rPr>
          <w:rFonts w:ascii="Times New Roman"/>
          <w:sz w:val="28"/>
          <w:szCs w:val="28"/>
        </w:rPr>
        <w:t>Стаття присвячена огляду зарубіжного досвіду регулювання інвестиційної діяльності пенсійних фондів</w:t>
      </w:r>
      <w:r w:rsidR="00D34681" w:rsidRPr="00D34681">
        <w:rPr>
          <w:rFonts w:ascii="Times New Roman"/>
          <w:sz w:val="28"/>
          <w:szCs w:val="28"/>
        </w:rPr>
        <w:t>. Розглянуто інвестиційні правила в різних країнах. Визначено специфіку регулювання інвестиційної діяльності пенсійних фондів в контексті публічно-приватного партнерства.</w:t>
      </w:r>
    </w:p>
    <w:p w:rsidR="00DD620D" w:rsidRDefault="00DD620D" w:rsidP="00DD620D">
      <w:pPr>
        <w:spacing w:after="0" w:line="360" w:lineRule="auto"/>
        <w:ind w:firstLine="720"/>
        <w:jc w:val="both"/>
        <w:rPr>
          <w:rFonts w:eastAsia="TimesNewRomanPSMT"/>
          <w:szCs w:val="28"/>
          <w:lang w:eastAsia="ru-RU"/>
        </w:rPr>
      </w:pPr>
      <w:proofErr w:type="spellStart"/>
      <w:r w:rsidRPr="00D34681">
        <w:rPr>
          <w:rFonts w:eastAsia="TimesNewRomanPSMT"/>
          <w:b/>
          <w:i/>
          <w:sz w:val="28"/>
          <w:szCs w:val="28"/>
          <w:lang w:eastAsia="ru-RU"/>
        </w:rPr>
        <w:t>Аннотация</w:t>
      </w:r>
      <w:proofErr w:type="spellEnd"/>
      <w:r w:rsidRPr="00D34681">
        <w:rPr>
          <w:rFonts w:eastAsia="TimesNewRomanPSMT"/>
          <w:b/>
          <w:i/>
          <w:sz w:val="28"/>
          <w:szCs w:val="28"/>
          <w:lang w:eastAsia="ru-RU"/>
        </w:rPr>
        <w:t>.</w:t>
      </w:r>
      <w:r w:rsidR="00D34681">
        <w:rPr>
          <w:rFonts w:eastAsia="TimesNewRomanPSMT"/>
          <w:b/>
          <w:i/>
          <w:szCs w:val="28"/>
          <w:lang w:eastAsia="ru-RU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Статья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посвящена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обзору </w:t>
      </w:r>
      <w:proofErr w:type="spellStart"/>
      <w:r w:rsidR="00D34681" w:rsidRPr="00D34681">
        <w:rPr>
          <w:rFonts w:ascii="Times New Roman"/>
          <w:sz w:val="28"/>
          <w:szCs w:val="28"/>
        </w:rPr>
        <w:t>зарубежного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опыта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регулирования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инвестиционной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деятельности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пенсионных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фондов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. </w:t>
      </w:r>
      <w:proofErr w:type="spellStart"/>
      <w:r w:rsidR="00D34681" w:rsidRPr="00D34681">
        <w:rPr>
          <w:rFonts w:ascii="Times New Roman"/>
          <w:sz w:val="28"/>
          <w:szCs w:val="28"/>
        </w:rPr>
        <w:t>Рассмотрены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инвестиционные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правила в </w:t>
      </w:r>
      <w:proofErr w:type="spellStart"/>
      <w:r w:rsidR="00D34681" w:rsidRPr="00D34681">
        <w:rPr>
          <w:rFonts w:ascii="Times New Roman"/>
          <w:sz w:val="28"/>
          <w:szCs w:val="28"/>
        </w:rPr>
        <w:t>разных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странах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. </w:t>
      </w:r>
      <w:proofErr w:type="spellStart"/>
      <w:r w:rsidR="00D34681" w:rsidRPr="00D34681">
        <w:rPr>
          <w:rFonts w:ascii="Times New Roman"/>
          <w:sz w:val="28"/>
          <w:szCs w:val="28"/>
        </w:rPr>
        <w:t>Определена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специфика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регулирования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инвестиционной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деятельности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пенсионных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фондов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в контексте </w:t>
      </w:r>
      <w:proofErr w:type="spellStart"/>
      <w:r w:rsidR="00D34681" w:rsidRPr="00D34681">
        <w:rPr>
          <w:rFonts w:ascii="Times New Roman"/>
          <w:sz w:val="28"/>
          <w:szCs w:val="28"/>
        </w:rPr>
        <w:t>государственно-частного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партнерства.</w:t>
      </w:r>
    </w:p>
    <w:p w:rsidR="00DD620D" w:rsidRDefault="00DD620D" w:rsidP="00DD620D">
      <w:pPr>
        <w:spacing w:after="0" w:line="360" w:lineRule="auto"/>
        <w:ind w:firstLine="720"/>
        <w:jc w:val="both"/>
        <w:rPr>
          <w:rFonts w:eastAsia="TimesNewRomanPSMT"/>
          <w:szCs w:val="28"/>
          <w:lang w:val="en-US" w:eastAsia="ru-RU"/>
        </w:rPr>
      </w:pPr>
      <w:r w:rsidRPr="00D34681">
        <w:rPr>
          <w:rFonts w:eastAsia="TimesNewRomanPSMT"/>
          <w:b/>
          <w:i/>
          <w:sz w:val="28"/>
          <w:szCs w:val="28"/>
          <w:lang w:eastAsia="ru-RU"/>
        </w:rPr>
        <w:t>Annotation.</w:t>
      </w:r>
      <w:r>
        <w:rPr>
          <w:rFonts w:eastAsia="TimesNewRomanPSMT"/>
          <w:szCs w:val="28"/>
          <w:lang w:val="en-US" w:eastAsia="ru-RU"/>
        </w:rPr>
        <w:t xml:space="preserve"> </w:t>
      </w:r>
      <w:r w:rsidR="00D34681" w:rsidRPr="00D34681">
        <w:rPr>
          <w:rFonts w:ascii="Times New Roman"/>
          <w:sz w:val="28"/>
          <w:szCs w:val="28"/>
        </w:rPr>
        <w:t xml:space="preserve">The article provides an overview of international experience of investment regulation of pension funds. </w:t>
      </w:r>
      <w:r w:rsidR="00D34681">
        <w:rPr>
          <w:rFonts w:ascii="Times New Roman"/>
          <w:sz w:val="28"/>
          <w:szCs w:val="28"/>
          <w:lang w:val="en-US"/>
        </w:rPr>
        <w:t xml:space="preserve">The </w:t>
      </w:r>
      <w:proofErr w:type="spellStart"/>
      <w:r w:rsidR="00D34681" w:rsidRPr="00D34681">
        <w:rPr>
          <w:rFonts w:ascii="Times New Roman"/>
          <w:sz w:val="28"/>
          <w:szCs w:val="28"/>
        </w:rPr>
        <w:t>investment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rules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r w:rsidR="00D34681">
        <w:rPr>
          <w:rFonts w:ascii="Times New Roman"/>
          <w:sz w:val="28"/>
          <w:szCs w:val="28"/>
          <w:lang w:val="en-US"/>
        </w:rPr>
        <w:t xml:space="preserve">are </w:t>
      </w:r>
      <w:proofErr w:type="spellStart"/>
      <w:r w:rsidR="00D34681">
        <w:rPr>
          <w:rFonts w:ascii="Times New Roman"/>
          <w:sz w:val="28"/>
          <w:szCs w:val="28"/>
        </w:rPr>
        <w:t>c</w:t>
      </w:r>
      <w:r w:rsidR="00D34681" w:rsidRPr="00D34681">
        <w:rPr>
          <w:rFonts w:ascii="Times New Roman"/>
          <w:sz w:val="28"/>
          <w:szCs w:val="28"/>
        </w:rPr>
        <w:t>onsidered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in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different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countries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. </w:t>
      </w:r>
      <w:proofErr w:type="spellStart"/>
      <w:r w:rsidR="00D34681" w:rsidRPr="00D34681">
        <w:rPr>
          <w:rFonts w:ascii="Times New Roman"/>
          <w:sz w:val="28"/>
          <w:szCs w:val="28"/>
        </w:rPr>
        <w:t>The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specificity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of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regulation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of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investment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of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pension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funds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r w:rsidR="00D34681">
        <w:rPr>
          <w:rFonts w:ascii="Times New Roman"/>
          <w:sz w:val="28"/>
          <w:szCs w:val="28"/>
          <w:lang w:val="en-US"/>
        </w:rPr>
        <w:t xml:space="preserve">are regarded </w:t>
      </w:r>
      <w:proofErr w:type="spellStart"/>
      <w:r w:rsidR="00D34681" w:rsidRPr="00D34681">
        <w:rPr>
          <w:rFonts w:ascii="Times New Roman"/>
          <w:sz w:val="28"/>
          <w:szCs w:val="28"/>
        </w:rPr>
        <w:t>in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the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context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of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public-private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partnership</w:t>
      </w:r>
      <w:proofErr w:type="spellEnd"/>
      <w:r w:rsidR="00D34681" w:rsidRPr="00D34681">
        <w:rPr>
          <w:rFonts w:ascii="Times New Roman"/>
          <w:sz w:val="28"/>
          <w:szCs w:val="28"/>
        </w:rPr>
        <w:t>.</w:t>
      </w:r>
    </w:p>
    <w:p w:rsidR="00DD620D" w:rsidRPr="00D34681" w:rsidRDefault="00DD620D" w:rsidP="00DD620D">
      <w:pPr>
        <w:spacing w:after="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34681">
        <w:rPr>
          <w:rFonts w:ascii="Times New Roman"/>
          <w:b/>
          <w:i/>
          <w:sz w:val="28"/>
          <w:szCs w:val="28"/>
        </w:rPr>
        <w:t>Ключові слова</w:t>
      </w:r>
      <w:r w:rsidRPr="00D34681">
        <w:rPr>
          <w:rFonts w:ascii="Times New Roman"/>
          <w:b/>
          <w:sz w:val="28"/>
          <w:szCs w:val="28"/>
        </w:rPr>
        <w:t>:</w:t>
      </w:r>
      <w:r w:rsidRPr="00D34681">
        <w:rPr>
          <w:rFonts w:ascii="Times New Roman"/>
          <w:sz w:val="28"/>
          <w:szCs w:val="28"/>
          <w:lang w:val="ru-RU"/>
        </w:rPr>
        <w:t xml:space="preserve"> </w:t>
      </w:r>
      <w:r w:rsidR="00D34681" w:rsidRPr="00D34681">
        <w:rPr>
          <w:rFonts w:ascii="Times New Roman"/>
          <w:sz w:val="28"/>
          <w:szCs w:val="28"/>
        </w:rPr>
        <w:t>інвестиції, регулювання, недержавні пенсійні фонди, публічно-приватне партнерство.</w:t>
      </w:r>
    </w:p>
    <w:p w:rsidR="00DD620D" w:rsidRPr="00D34681" w:rsidRDefault="00DD620D" w:rsidP="00DD620D">
      <w:pPr>
        <w:spacing w:after="0" w:line="360" w:lineRule="auto"/>
        <w:ind w:firstLine="720"/>
        <w:jc w:val="both"/>
        <w:rPr>
          <w:rFonts w:ascii="Times New Roman" w:eastAsia="TimesNewRomanPSMT"/>
          <w:sz w:val="28"/>
          <w:szCs w:val="28"/>
          <w:lang w:eastAsia="ru-RU"/>
        </w:rPr>
      </w:pPr>
      <w:proofErr w:type="spellStart"/>
      <w:r w:rsidRPr="00D34681">
        <w:rPr>
          <w:rFonts w:ascii="Times New Roman" w:eastAsia="TimesNewRomanPSMT"/>
          <w:b/>
          <w:i/>
          <w:sz w:val="28"/>
          <w:szCs w:val="28"/>
          <w:lang w:eastAsia="ru-RU"/>
        </w:rPr>
        <w:lastRenderedPageBreak/>
        <w:t>Ключевые</w:t>
      </w:r>
      <w:proofErr w:type="spellEnd"/>
      <w:r w:rsidRPr="00D34681">
        <w:rPr>
          <w:rFonts w:ascii="Times New Roman" w:eastAsia="TimesNewRomanPSMT"/>
          <w:b/>
          <w:i/>
          <w:sz w:val="28"/>
          <w:szCs w:val="28"/>
          <w:lang w:eastAsia="ru-RU"/>
        </w:rPr>
        <w:t xml:space="preserve"> слова:</w:t>
      </w:r>
      <w:r w:rsidRPr="00D34681">
        <w:rPr>
          <w:rFonts w:ascii="Times New Roman" w:eastAsia="TimesNewRomanPSMT"/>
          <w:sz w:val="28"/>
          <w:szCs w:val="28"/>
          <w:lang w:eastAsia="ru-RU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инвестиции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, </w:t>
      </w:r>
      <w:proofErr w:type="spellStart"/>
      <w:r w:rsidR="00D34681" w:rsidRPr="00D34681">
        <w:rPr>
          <w:rFonts w:ascii="Times New Roman"/>
          <w:sz w:val="28"/>
          <w:szCs w:val="28"/>
        </w:rPr>
        <w:t>регулирования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, </w:t>
      </w:r>
      <w:proofErr w:type="spellStart"/>
      <w:r w:rsidR="00D34681" w:rsidRPr="00D34681">
        <w:rPr>
          <w:rFonts w:ascii="Times New Roman"/>
          <w:sz w:val="28"/>
          <w:szCs w:val="28"/>
        </w:rPr>
        <w:t>негосударственные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пенсионные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</w:t>
      </w:r>
      <w:proofErr w:type="spellStart"/>
      <w:r w:rsidR="00D34681" w:rsidRPr="00D34681">
        <w:rPr>
          <w:rFonts w:ascii="Times New Roman"/>
          <w:sz w:val="28"/>
          <w:szCs w:val="28"/>
        </w:rPr>
        <w:t>фонды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, </w:t>
      </w:r>
      <w:proofErr w:type="spellStart"/>
      <w:r w:rsidR="00D34681" w:rsidRPr="00D34681">
        <w:rPr>
          <w:rFonts w:ascii="Times New Roman"/>
          <w:sz w:val="28"/>
          <w:szCs w:val="28"/>
        </w:rPr>
        <w:t>публично-частное</w:t>
      </w:r>
      <w:proofErr w:type="spellEnd"/>
      <w:r w:rsidR="00D34681" w:rsidRPr="00D34681">
        <w:rPr>
          <w:rFonts w:ascii="Times New Roman"/>
          <w:sz w:val="28"/>
          <w:szCs w:val="28"/>
        </w:rPr>
        <w:t xml:space="preserve"> партнерство.</w:t>
      </w:r>
    </w:p>
    <w:p w:rsidR="00DD620D" w:rsidRPr="00D34681" w:rsidRDefault="00DD620D" w:rsidP="00DD620D">
      <w:pPr>
        <w:spacing w:after="0" w:line="360" w:lineRule="auto"/>
        <w:ind w:firstLine="720"/>
        <w:jc w:val="both"/>
        <w:rPr>
          <w:rFonts w:ascii="Times New Roman"/>
          <w:sz w:val="28"/>
          <w:szCs w:val="28"/>
        </w:rPr>
      </w:pPr>
      <w:r w:rsidRPr="00D34681">
        <w:rPr>
          <w:rFonts w:ascii="Times New Roman" w:eastAsia="TimesNewRomanPSMT"/>
          <w:b/>
          <w:i/>
          <w:sz w:val="28"/>
          <w:szCs w:val="28"/>
          <w:lang w:val="en-US" w:eastAsia="ru-RU"/>
        </w:rPr>
        <w:t>Key words:</w:t>
      </w:r>
      <w:r w:rsidRPr="00D34681">
        <w:rPr>
          <w:rFonts w:ascii="Times New Roman" w:eastAsia="TimesNewRomanPSMT"/>
          <w:sz w:val="28"/>
          <w:szCs w:val="28"/>
          <w:lang w:val="en-US" w:eastAsia="ru-RU"/>
        </w:rPr>
        <w:t xml:space="preserve"> </w:t>
      </w:r>
      <w:r w:rsidR="00D34681" w:rsidRPr="00D34681">
        <w:rPr>
          <w:rFonts w:ascii="Times New Roman"/>
          <w:sz w:val="28"/>
          <w:szCs w:val="28"/>
        </w:rPr>
        <w:t>investment, regulation, pension funds, public-private partnership.</w:t>
      </w:r>
    </w:p>
    <w:p w:rsidR="00DD620D" w:rsidRPr="00B37F67" w:rsidRDefault="00DD620D" w:rsidP="00DD620D">
      <w:pPr>
        <w:spacing w:after="0" w:line="360" w:lineRule="auto"/>
        <w:ind w:firstLine="720"/>
        <w:jc w:val="both"/>
        <w:rPr>
          <w:rFonts w:eastAsia="TimesNewRomanPSMT"/>
          <w:szCs w:val="28"/>
          <w:lang w:val="en-US" w:eastAsia="ru-RU"/>
        </w:rPr>
      </w:pPr>
    </w:p>
    <w:p w:rsidR="00E94E46" w:rsidRPr="00C160D6" w:rsidRDefault="00DD620D" w:rsidP="00E94E4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34681">
        <w:rPr>
          <w:rFonts w:eastAsia="TimesNewRomanPSMT"/>
          <w:b/>
          <w:sz w:val="28"/>
          <w:szCs w:val="28"/>
          <w:lang w:eastAsia="ru-RU"/>
        </w:rPr>
        <w:t>Постановка</w:t>
      </w:r>
      <w:r w:rsidRPr="00D34681">
        <w:rPr>
          <w:rFonts w:eastAsia="TimesNewRomanPSMT"/>
          <w:b/>
          <w:sz w:val="28"/>
          <w:szCs w:val="28"/>
          <w:lang w:eastAsia="ru-RU"/>
        </w:rPr>
        <w:t xml:space="preserve"> </w:t>
      </w:r>
      <w:r w:rsidRPr="00D34681">
        <w:rPr>
          <w:rFonts w:eastAsia="TimesNewRomanPSMT"/>
          <w:b/>
          <w:sz w:val="28"/>
          <w:szCs w:val="28"/>
          <w:lang w:eastAsia="ru-RU"/>
        </w:rPr>
        <w:t>проблеми</w:t>
      </w:r>
      <w:r w:rsidRPr="00D34681">
        <w:rPr>
          <w:rFonts w:eastAsia="TimesNewRomanPSMT"/>
          <w:b/>
          <w:sz w:val="28"/>
          <w:szCs w:val="28"/>
          <w:lang w:eastAsia="ru-RU"/>
        </w:rPr>
        <w:t>.</w:t>
      </w:r>
      <w:r w:rsidR="00E94E46">
        <w:rPr>
          <w:rFonts w:eastAsia="TimesNewRomanPSMT"/>
          <w:b/>
          <w:sz w:val="28"/>
          <w:szCs w:val="28"/>
          <w:lang w:eastAsia="ru-RU"/>
        </w:rPr>
        <w:t xml:space="preserve"> </w:t>
      </w:r>
      <w:r w:rsidR="00E94E46" w:rsidRPr="00C160D6">
        <w:rPr>
          <w:rFonts w:ascii="Times New Roman"/>
          <w:sz w:val="28"/>
          <w:szCs w:val="28"/>
        </w:rPr>
        <w:t>Активізація інвестиційних процесів в</w:t>
      </w:r>
      <w:r w:rsidR="00E94E46" w:rsidRPr="00C160D6">
        <w:rPr>
          <w:rFonts w:ascii="Times New Roman"/>
          <w:sz w:val="28"/>
          <w:szCs w:val="28"/>
        </w:rPr>
        <w:t xml:space="preserve"> Європі</w:t>
      </w:r>
      <w:r w:rsidR="00E94E46" w:rsidRPr="00C160D6">
        <w:rPr>
          <w:rFonts w:ascii="Times New Roman"/>
          <w:sz w:val="28"/>
          <w:szCs w:val="28"/>
        </w:rPr>
        <w:t xml:space="preserve"> є запорукою її економічного розвитку. Надзвичайно важлива роль </w:t>
      </w:r>
      <w:r w:rsidR="00E94E46" w:rsidRPr="00C160D6">
        <w:rPr>
          <w:rFonts w:ascii="Times New Roman"/>
          <w:sz w:val="28"/>
          <w:szCs w:val="28"/>
        </w:rPr>
        <w:t xml:space="preserve">інституційним </w:t>
      </w:r>
      <w:r w:rsidR="0011593B" w:rsidRPr="00C160D6">
        <w:rPr>
          <w:rFonts w:ascii="Times New Roman"/>
          <w:sz w:val="28"/>
          <w:szCs w:val="28"/>
        </w:rPr>
        <w:t>інвесторам</w:t>
      </w:r>
      <w:r w:rsidR="00E94E46" w:rsidRPr="00C160D6">
        <w:rPr>
          <w:rFonts w:ascii="Times New Roman"/>
          <w:sz w:val="28"/>
          <w:szCs w:val="28"/>
        </w:rPr>
        <w:t xml:space="preserve"> (страховим компаніям, недержавним пенсійним фондам, інститутам спільного інвестування)</w:t>
      </w:r>
      <w:r w:rsidR="00E94E46" w:rsidRPr="00C160D6">
        <w:rPr>
          <w:rFonts w:ascii="Times New Roman"/>
          <w:sz w:val="28"/>
          <w:szCs w:val="28"/>
        </w:rPr>
        <w:t xml:space="preserve">, як акселераторам економічного зростання. Оскільки, з одного боку, в основі їхніх функцій лежить акумулювання грошових коштів, а з другого, їх розміщення з метою отримання прибутку. Раціональні інвестиційні рішення повинні збагачувати інвесторів та </w:t>
      </w:r>
      <w:r w:rsidR="00E94E46" w:rsidRPr="00C160D6">
        <w:rPr>
          <w:rFonts w:ascii="Times New Roman"/>
          <w:sz w:val="28"/>
          <w:szCs w:val="28"/>
        </w:rPr>
        <w:t>самих інституційних інвесторів</w:t>
      </w:r>
      <w:r w:rsidR="00E94E46" w:rsidRPr="00C160D6">
        <w:rPr>
          <w:rFonts w:ascii="Times New Roman"/>
          <w:sz w:val="28"/>
          <w:szCs w:val="28"/>
        </w:rPr>
        <w:t>. На жаль, фінансові установи зіштов</w:t>
      </w:r>
      <w:r w:rsidR="00E94E46" w:rsidRPr="00C160D6">
        <w:rPr>
          <w:rFonts w:ascii="Times New Roman"/>
          <w:sz w:val="28"/>
          <w:szCs w:val="28"/>
        </w:rPr>
        <w:t xml:space="preserve">хуються із </w:t>
      </w:r>
      <w:r w:rsidR="0011593B" w:rsidRPr="00C160D6">
        <w:rPr>
          <w:rFonts w:ascii="Times New Roman"/>
          <w:sz w:val="28"/>
          <w:szCs w:val="28"/>
        </w:rPr>
        <w:t>такою</w:t>
      </w:r>
      <w:r w:rsidR="00E94E46" w:rsidRPr="00C160D6">
        <w:rPr>
          <w:rFonts w:ascii="Times New Roman"/>
          <w:sz w:val="28"/>
          <w:szCs w:val="28"/>
        </w:rPr>
        <w:t xml:space="preserve"> </w:t>
      </w:r>
      <w:r w:rsidR="0011593B" w:rsidRPr="00C160D6">
        <w:rPr>
          <w:rFonts w:ascii="Times New Roman"/>
          <w:sz w:val="28"/>
          <w:szCs w:val="28"/>
        </w:rPr>
        <w:t>проблемою</w:t>
      </w:r>
      <w:r w:rsidR="00E94E46" w:rsidRPr="00C160D6">
        <w:rPr>
          <w:rFonts w:ascii="Times New Roman"/>
          <w:sz w:val="28"/>
          <w:szCs w:val="28"/>
        </w:rPr>
        <w:t xml:space="preserve">, як </w:t>
      </w:r>
      <w:r w:rsidR="00E94E46" w:rsidRPr="00C160D6">
        <w:rPr>
          <w:rFonts w:ascii="Times New Roman"/>
          <w:sz w:val="28"/>
          <w:szCs w:val="28"/>
        </w:rPr>
        <w:t xml:space="preserve">брак об’єктів інвестування, які б відповідали їхнім запитам у співвідношенні “ризик-дохідність”. </w:t>
      </w:r>
      <w:r w:rsidR="0011593B" w:rsidRPr="00C160D6">
        <w:rPr>
          <w:rFonts w:ascii="Times New Roman"/>
          <w:sz w:val="28"/>
          <w:szCs w:val="28"/>
        </w:rPr>
        <w:t xml:space="preserve"> Для України особливо важливим є </w:t>
      </w:r>
      <w:r w:rsidR="00E94E46" w:rsidRPr="00C160D6">
        <w:rPr>
          <w:rFonts w:ascii="Times New Roman"/>
          <w:sz w:val="28"/>
          <w:szCs w:val="28"/>
        </w:rPr>
        <w:t xml:space="preserve">дослідження </w:t>
      </w:r>
      <w:r w:rsidR="0011593B" w:rsidRPr="00C160D6">
        <w:rPr>
          <w:rFonts w:ascii="Times New Roman"/>
          <w:sz w:val="28"/>
          <w:szCs w:val="28"/>
        </w:rPr>
        <w:t>зарубіжного досвіду регулювання інвестиційної діяльності недержавних пенсійних фондів, зокрема, в контексті їх участі у публічно-приватному партнерстві.</w:t>
      </w:r>
    </w:p>
    <w:p w:rsidR="00E94E46" w:rsidRDefault="00E94E46" w:rsidP="00E94E4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C160D6">
        <w:rPr>
          <w:rFonts w:ascii="Times New Roman"/>
          <w:sz w:val="28"/>
          <w:szCs w:val="28"/>
        </w:rPr>
        <w:t xml:space="preserve">Дослідженню проблем інвестування </w:t>
      </w:r>
      <w:r w:rsidR="0011593B" w:rsidRPr="00C160D6">
        <w:rPr>
          <w:rFonts w:ascii="Times New Roman"/>
          <w:sz w:val="28"/>
          <w:szCs w:val="28"/>
        </w:rPr>
        <w:t xml:space="preserve">недержавними пенсійними фондами </w:t>
      </w:r>
      <w:r w:rsidRPr="00C160D6">
        <w:rPr>
          <w:rFonts w:ascii="Times New Roman"/>
          <w:sz w:val="28"/>
          <w:szCs w:val="28"/>
        </w:rPr>
        <w:t xml:space="preserve">присвячено низку праць. Зокрема, праці М. І. Диби – безпеці інвестування </w:t>
      </w:r>
      <w:r w:rsidR="0011593B" w:rsidRPr="00C160D6">
        <w:rPr>
          <w:rFonts w:ascii="Times New Roman"/>
          <w:sz w:val="28"/>
          <w:szCs w:val="28"/>
        </w:rPr>
        <w:t>інституційних інвесторів</w:t>
      </w:r>
      <w:r w:rsidRPr="00C160D6">
        <w:rPr>
          <w:rFonts w:ascii="Times New Roman"/>
          <w:sz w:val="28"/>
          <w:szCs w:val="28"/>
        </w:rPr>
        <w:t xml:space="preserve"> [1], </w:t>
      </w:r>
      <w:proofErr w:type="spellStart"/>
      <w:r w:rsidR="0011593B" w:rsidRPr="00C160D6">
        <w:rPr>
          <w:rFonts w:ascii="Times New Roman"/>
          <w:sz w:val="28"/>
          <w:szCs w:val="28"/>
        </w:rPr>
        <w:t>Є.А.Поліщук</w:t>
      </w:r>
      <w:proofErr w:type="spellEnd"/>
      <w:r w:rsidR="0011593B" w:rsidRPr="00C160D6">
        <w:rPr>
          <w:rFonts w:ascii="Times New Roman"/>
          <w:sz w:val="28"/>
          <w:szCs w:val="28"/>
        </w:rPr>
        <w:t xml:space="preserve"> </w:t>
      </w:r>
      <w:r w:rsidRPr="00C160D6">
        <w:rPr>
          <w:rFonts w:ascii="Times New Roman"/>
          <w:sz w:val="28"/>
          <w:szCs w:val="28"/>
        </w:rPr>
        <w:t xml:space="preserve"> [2] – дослідженню досвіду європейських </w:t>
      </w:r>
      <w:r w:rsidR="0011593B" w:rsidRPr="00C160D6">
        <w:rPr>
          <w:rFonts w:ascii="Times New Roman"/>
          <w:sz w:val="28"/>
          <w:szCs w:val="28"/>
        </w:rPr>
        <w:t>НБФУ в цілому</w:t>
      </w:r>
      <w:r w:rsidRPr="00C160D6">
        <w:rPr>
          <w:rFonts w:ascii="Times New Roman"/>
          <w:sz w:val="28"/>
          <w:szCs w:val="28"/>
        </w:rPr>
        <w:t xml:space="preserve">, </w:t>
      </w:r>
      <w:r w:rsidR="0011593B" w:rsidRPr="00C160D6">
        <w:rPr>
          <w:rFonts w:ascii="Times New Roman"/>
          <w:sz w:val="28"/>
          <w:szCs w:val="28"/>
        </w:rPr>
        <w:t>Нагорної О.В.</w:t>
      </w:r>
      <w:r w:rsidRPr="00C160D6">
        <w:rPr>
          <w:rFonts w:ascii="Times New Roman"/>
          <w:sz w:val="28"/>
          <w:szCs w:val="28"/>
        </w:rPr>
        <w:t xml:space="preserve"> [</w:t>
      </w:r>
      <w:r w:rsidR="00720CBF" w:rsidRPr="00C160D6">
        <w:rPr>
          <w:rFonts w:ascii="Times New Roman"/>
          <w:sz w:val="28"/>
          <w:szCs w:val="28"/>
        </w:rPr>
        <w:t>3</w:t>
      </w:r>
      <w:r w:rsidRPr="00C160D6">
        <w:rPr>
          <w:rFonts w:ascii="Times New Roman"/>
          <w:sz w:val="28"/>
          <w:szCs w:val="28"/>
        </w:rPr>
        <w:t>]</w:t>
      </w:r>
      <w:r w:rsidR="0011593B" w:rsidRPr="00C160D6">
        <w:rPr>
          <w:rFonts w:ascii="Times New Roman"/>
          <w:sz w:val="28"/>
          <w:szCs w:val="28"/>
        </w:rPr>
        <w:t xml:space="preserve"> – альтернативними підходам до </w:t>
      </w:r>
      <w:r w:rsidR="0011593B" w:rsidRPr="00C160D6">
        <w:rPr>
          <w:rFonts w:ascii="Times New Roman"/>
          <w:sz w:val="28"/>
          <w:szCs w:val="28"/>
        </w:rPr>
        <w:t>управління активами небанківських фінансових установ</w:t>
      </w:r>
      <w:r w:rsidRPr="00C160D6">
        <w:rPr>
          <w:rFonts w:ascii="Times New Roman"/>
          <w:sz w:val="28"/>
          <w:szCs w:val="28"/>
        </w:rPr>
        <w:t xml:space="preserve">, </w:t>
      </w:r>
      <w:proofErr w:type="spellStart"/>
      <w:r w:rsidR="0011593B" w:rsidRPr="00C160D6">
        <w:rPr>
          <w:rFonts w:ascii="Times New Roman"/>
          <w:sz w:val="28"/>
          <w:szCs w:val="28"/>
        </w:rPr>
        <w:t>Василишена</w:t>
      </w:r>
      <w:proofErr w:type="spellEnd"/>
      <w:r w:rsidR="0011593B" w:rsidRPr="00C160D6">
        <w:rPr>
          <w:rFonts w:ascii="Times New Roman"/>
          <w:sz w:val="28"/>
          <w:szCs w:val="28"/>
        </w:rPr>
        <w:t xml:space="preserve"> Ю.В. [</w:t>
      </w:r>
      <w:r w:rsidR="00720CBF" w:rsidRPr="00C160D6">
        <w:rPr>
          <w:rFonts w:ascii="Times New Roman"/>
          <w:sz w:val="28"/>
          <w:szCs w:val="28"/>
        </w:rPr>
        <w:t>4</w:t>
      </w:r>
      <w:r w:rsidR="0011593B" w:rsidRPr="00C160D6">
        <w:rPr>
          <w:rFonts w:ascii="Times New Roman"/>
          <w:sz w:val="28"/>
          <w:szCs w:val="28"/>
        </w:rPr>
        <w:t>]</w:t>
      </w:r>
      <w:r w:rsidR="00720CBF" w:rsidRPr="00C160D6">
        <w:rPr>
          <w:rFonts w:ascii="Times New Roman"/>
          <w:sz w:val="28"/>
          <w:szCs w:val="28"/>
        </w:rPr>
        <w:t xml:space="preserve"> – ризикам інвестування фінансових установ; </w:t>
      </w:r>
      <w:r w:rsidRPr="00C160D6">
        <w:rPr>
          <w:rFonts w:ascii="Times New Roman"/>
          <w:sz w:val="28"/>
          <w:szCs w:val="28"/>
        </w:rPr>
        <w:t>В. В. Зимовця </w:t>
      </w:r>
      <w:r w:rsidR="00720CBF" w:rsidRPr="00C160D6">
        <w:rPr>
          <w:rFonts w:ascii="Times New Roman"/>
          <w:sz w:val="28"/>
          <w:szCs w:val="28"/>
        </w:rPr>
        <w:t>[</w:t>
      </w:r>
      <w:r w:rsidR="00720CBF" w:rsidRPr="00C160D6">
        <w:rPr>
          <w:rFonts w:ascii="Times New Roman"/>
          <w:sz w:val="28"/>
          <w:szCs w:val="28"/>
        </w:rPr>
        <w:t>5</w:t>
      </w:r>
      <w:r w:rsidR="00720CBF" w:rsidRPr="00C160D6">
        <w:rPr>
          <w:rFonts w:ascii="Times New Roman"/>
          <w:sz w:val="28"/>
          <w:szCs w:val="28"/>
        </w:rPr>
        <w:t xml:space="preserve">] </w:t>
      </w:r>
      <w:r w:rsidRPr="00C160D6">
        <w:rPr>
          <w:rFonts w:ascii="Times New Roman"/>
          <w:sz w:val="28"/>
          <w:szCs w:val="28"/>
        </w:rPr>
        <w:t>– проблемам акумуляції фінансових ресурсів через НБФУ[6], В. В. </w:t>
      </w:r>
      <w:proofErr w:type="spellStart"/>
      <w:r w:rsidRPr="00C160D6">
        <w:rPr>
          <w:rFonts w:ascii="Times New Roman"/>
          <w:sz w:val="28"/>
          <w:szCs w:val="28"/>
        </w:rPr>
        <w:t>Корнєєва</w:t>
      </w:r>
      <w:proofErr w:type="spellEnd"/>
      <w:r w:rsidR="00720CBF" w:rsidRPr="00C160D6">
        <w:rPr>
          <w:rFonts w:ascii="Times New Roman"/>
          <w:sz w:val="28"/>
          <w:szCs w:val="28"/>
        </w:rPr>
        <w:t xml:space="preserve"> </w:t>
      </w:r>
      <w:r w:rsidR="00720CBF" w:rsidRPr="00C160D6">
        <w:rPr>
          <w:rFonts w:ascii="Times New Roman"/>
          <w:sz w:val="28"/>
          <w:szCs w:val="28"/>
        </w:rPr>
        <w:t>[</w:t>
      </w:r>
      <w:r w:rsidR="00720CBF" w:rsidRPr="00C160D6">
        <w:rPr>
          <w:rFonts w:ascii="Times New Roman"/>
          <w:sz w:val="28"/>
          <w:szCs w:val="28"/>
        </w:rPr>
        <w:t>6</w:t>
      </w:r>
      <w:r w:rsidR="00720CBF" w:rsidRPr="00C160D6">
        <w:rPr>
          <w:rFonts w:ascii="Times New Roman"/>
          <w:sz w:val="28"/>
          <w:szCs w:val="28"/>
        </w:rPr>
        <w:t>]</w:t>
      </w:r>
      <w:r w:rsidRPr="00C160D6">
        <w:rPr>
          <w:rFonts w:ascii="Times New Roman"/>
          <w:sz w:val="28"/>
          <w:szCs w:val="28"/>
        </w:rPr>
        <w:t> – особливостям використання довгострокових фінансових інструментів на ринку капіталу</w:t>
      </w:r>
      <w:r w:rsidR="00720CBF" w:rsidRPr="00C160D6">
        <w:rPr>
          <w:rFonts w:ascii="Times New Roman"/>
          <w:sz w:val="28"/>
          <w:szCs w:val="28"/>
        </w:rPr>
        <w:t xml:space="preserve">, Свириденка О.О. </w:t>
      </w:r>
      <w:r w:rsidR="00720CBF" w:rsidRPr="00C160D6">
        <w:rPr>
          <w:rFonts w:ascii="Times New Roman"/>
          <w:sz w:val="28"/>
          <w:szCs w:val="28"/>
        </w:rPr>
        <w:t>[</w:t>
      </w:r>
      <w:r w:rsidR="00720CBF" w:rsidRPr="00C160D6">
        <w:rPr>
          <w:rFonts w:ascii="Times New Roman"/>
          <w:sz w:val="28"/>
          <w:szCs w:val="28"/>
        </w:rPr>
        <w:t>7</w:t>
      </w:r>
      <w:r w:rsidR="00720CBF" w:rsidRPr="00C160D6">
        <w:rPr>
          <w:rFonts w:ascii="Times New Roman"/>
          <w:sz w:val="28"/>
          <w:szCs w:val="28"/>
        </w:rPr>
        <w:t>] </w:t>
      </w:r>
      <w:r w:rsidR="00720CBF" w:rsidRPr="00C160D6">
        <w:rPr>
          <w:rFonts w:ascii="Times New Roman"/>
          <w:sz w:val="28"/>
          <w:szCs w:val="28"/>
        </w:rPr>
        <w:t xml:space="preserve"> - обмеженням інвестиційно ї діяльності фінансових установ</w:t>
      </w:r>
      <w:r w:rsidRPr="00C160D6">
        <w:rPr>
          <w:rFonts w:ascii="Times New Roman"/>
          <w:sz w:val="28"/>
          <w:szCs w:val="28"/>
        </w:rPr>
        <w:t>.</w:t>
      </w:r>
    </w:p>
    <w:p w:rsidR="00DD620D" w:rsidRPr="004B5AE2" w:rsidRDefault="00F3256D" w:rsidP="004B5AE2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Метою статті є огляд </w:t>
      </w:r>
      <w:r w:rsidR="004B5AE2">
        <w:rPr>
          <w:rFonts w:ascii="Times New Roman"/>
          <w:sz w:val="28"/>
          <w:szCs w:val="28"/>
        </w:rPr>
        <w:t xml:space="preserve">зарубіжного досвіду країн </w:t>
      </w:r>
      <w:r w:rsidR="004B5AE2">
        <w:rPr>
          <w:rFonts w:ascii="Times New Roman"/>
          <w:sz w:val="28"/>
          <w:szCs w:val="28"/>
        </w:rPr>
        <w:t>регулювання інвестиційної діяльності недержавних пенсійних фондів.</w:t>
      </w:r>
      <w:bookmarkStart w:id="0" w:name="_GoBack"/>
      <w:bookmarkEnd w:id="0"/>
    </w:p>
    <w:p w:rsidR="00D84D22" w:rsidRPr="00D84D22" w:rsidRDefault="00C160D6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C160D6">
        <w:rPr>
          <w:rFonts w:ascii="Times New Roman"/>
          <w:b/>
          <w:sz w:val="28"/>
          <w:szCs w:val="28"/>
        </w:rPr>
        <w:t>Виклад основного матеріалу дослідження.</w:t>
      </w:r>
      <w:r>
        <w:rPr>
          <w:rFonts w:ascii="Times New Roman"/>
          <w:sz w:val="28"/>
          <w:szCs w:val="28"/>
        </w:rPr>
        <w:t xml:space="preserve"> </w:t>
      </w:r>
      <w:r w:rsidR="009138E5">
        <w:rPr>
          <w:rFonts w:ascii="Times New Roman"/>
          <w:sz w:val="28"/>
          <w:szCs w:val="28"/>
        </w:rPr>
        <w:t>Р</w:t>
      </w:r>
      <w:r w:rsidR="009138E5" w:rsidRPr="00D84D22">
        <w:rPr>
          <w:rFonts w:ascii="Times New Roman"/>
          <w:sz w:val="28"/>
          <w:szCs w:val="28"/>
        </w:rPr>
        <w:t xml:space="preserve">егулювання інвестицій </w:t>
      </w:r>
      <w:r w:rsidR="009138E5">
        <w:rPr>
          <w:rFonts w:ascii="Times New Roman"/>
          <w:sz w:val="28"/>
          <w:szCs w:val="28"/>
        </w:rPr>
        <w:t>пенсійних фондів</w:t>
      </w:r>
      <w:r w:rsidR="00D84D22" w:rsidRPr="00D84D22">
        <w:rPr>
          <w:rFonts w:ascii="Times New Roman"/>
          <w:sz w:val="28"/>
          <w:szCs w:val="28"/>
        </w:rPr>
        <w:t xml:space="preserve"> на рівні країни розвивається протягом багатьох років</w:t>
      </w:r>
      <w:r w:rsidR="009138E5">
        <w:rPr>
          <w:rFonts w:ascii="Times New Roman"/>
          <w:sz w:val="28"/>
          <w:szCs w:val="28"/>
        </w:rPr>
        <w:t xml:space="preserve"> під впливом</w:t>
      </w:r>
      <w:r w:rsidR="00D84D22" w:rsidRPr="00D84D22">
        <w:rPr>
          <w:rFonts w:ascii="Times New Roman"/>
          <w:sz w:val="28"/>
          <w:szCs w:val="28"/>
        </w:rPr>
        <w:t xml:space="preserve"> різних громадських політичних рішень</w:t>
      </w:r>
      <w:r w:rsidR="009138E5">
        <w:rPr>
          <w:rFonts w:ascii="Times New Roman"/>
          <w:sz w:val="28"/>
          <w:szCs w:val="28"/>
        </w:rPr>
        <w:t xml:space="preserve"> та підходів до інвестування</w:t>
      </w:r>
      <w:r w:rsidR="00D84D22" w:rsidRPr="00D84D22">
        <w:rPr>
          <w:rFonts w:ascii="Times New Roman"/>
          <w:sz w:val="28"/>
          <w:szCs w:val="28"/>
        </w:rPr>
        <w:t xml:space="preserve">. Загалом, </w:t>
      </w:r>
      <w:r w:rsidR="009138E5">
        <w:rPr>
          <w:rFonts w:ascii="Times New Roman"/>
          <w:sz w:val="28"/>
          <w:szCs w:val="28"/>
        </w:rPr>
        <w:t>в англосаксонських країнах під час управління інвестиціями</w:t>
      </w:r>
      <w:r w:rsidR="009138E5" w:rsidRPr="00D84D22">
        <w:rPr>
          <w:rFonts w:ascii="Times New Roman"/>
          <w:sz w:val="28"/>
          <w:szCs w:val="28"/>
        </w:rPr>
        <w:t xml:space="preserve"> пенсійного фонду</w:t>
      </w:r>
      <w:r w:rsidR="009138E5">
        <w:rPr>
          <w:rFonts w:ascii="Times New Roman"/>
          <w:sz w:val="28"/>
          <w:szCs w:val="28"/>
        </w:rPr>
        <w:t xml:space="preserve"> використовують підхід розумної людини</w:t>
      </w:r>
      <w:r w:rsidR="00D84D22" w:rsidRPr="00D84D22">
        <w:rPr>
          <w:rFonts w:ascii="Times New Roman"/>
          <w:sz w:val="28"/>
          <w:szCs w:val="28"/>
        </w:rPr>
        <w:t>, який вимагає т</w:t>
      </w:r>
      <w:r w:rsidR="009138E5">
        <w:rPr>
          <w:rFonts w:ascii="Times New Roman"/>
          <w:sz w:val="28"/>
          <w:szCs w:val="28"/>
        </w:rPr>
        <w:t>е</w:t>
      </w:r>
      <w:r w:rsidR="00D84D22" w:rsidRPr="00D84D22">
        <w:rPr>
          <w:rFonts w:ascii="Times New Roman"/>
          <w:sz w:val="28"/>
          <w:szCs w:val="28"/>
        </w:rPr>
        <w:t>, що кошти будуть інвестовані "розсудливо", а не обме</w:t>
      </w:r>
      <w:r w:rsidR="009138E5">
        <w:rPr>
          <w:rFonts w:ascii="Times New Roman"/>
          <w:sz w:val="28"/>
          <w:szCs w:val="28"/>
        </w:rPr>
        <w:t>жуватися напрямками інвестування</w:t>
      </w:r>
      <w:r w:rsidR="00D84D22" w:rsidRPr="00D84D22">
        <w:rPr>
          <w:rFonts w:ascii="Times New Roman"/>
          <w:sz w:val="28"/>
          <w:szCs w:val="28"/>
        </w:rPr>
        <w:t xml:space="preserve">. </w:t>
      </w:r>
      <w:r w:rsidR="009138E5">
        <w:rPr>
          <w:rFonts w:ascii="Times New Roman"/>
          <w:sz w:val="28"/>
          <w:szCs w:val="28"/>
        </w:rPr>
        <w:t>Але одночасно</w:t>
      </w:r>
      <w:r w:rsidR="00D84D22" w:rsidRPr="00D84D22">
        <w:rPr>
          <w:rFonts w:ascii="Times New Roman"/>
          <w:sz w:val="28"/>
          <w:szCs w:val="28"/>
        </w:rPr>
        <w:t xml:space="preserve"> існують </w:t>
      </w:r>
      <w:r w:rsidR="009138E5">
        <w:rPr>
          <w:rFonts w:ascii="Times New Roman"/>
          <w:sz w:val="28"/>
          <w:szCs w:val="28"/>
        </w:rPr>
        <w:t>і деякі обмеження</w:t>
      </w:r>
      <w:r w:rsidR="00D84D22" w:rsidRPr="00D84D22">
        <w:rPr>
          <w:rFonts w:ascii="Times New Roman"/>
          <w:sz w:val="28"/>
          <w:szCs w:val="28"/>
        </w:rPr>
        <w:t xml:space="preserve"> на інвестиції в конкретні активи. </w:t>
      </w:r>
      <w:r w:rsidR="009138E5">
        <w:rPr>
          <w:rFonts w:ascii="Times New Roman"/>
          <w:sz w:val="28"/>
          <w:szCs w:val="28"/>
        </w:rPr>
        <w:t>П</w:t>
      </w:r>
      <w:r w:rsidR="009138E5" w:rsidRPr="00D84D22">
        <w:rPr>
          <w:rFonts w:ascii="Times New Roman"/>
          <w:sz w:val="28"/>
          <w:szCs w:val="28"/>
        </w:rPr>
        <w:t xml:space="preserve">роте </w:t>
      </w:r>
      <w:r w:rsidR="009138E5">
        <w:rPr>
          <w:rFonts w:ascii="Times New Roman"/>
          <w:sz w:val="28"/>
          <w:szCs w:val="28"/>
        </w:rPr>
        <w:t>у</w:t>
      </w:r>
      <w:r w:rsidR="00D84D22" w:rsidRPr="00D84D22">
        <w:rPr>
          <w:rFonts w:ascii="Times New Roman"/>
          <w:sz w:val="28"/>
          <w:szCs w:val="28"/>
        </w:rPr>
        <w:t xml:space="preserve"> інших країнах</w:t>
      </w:r>
      <w:r w:rsidR="009138E5" w:rsidRPr="009138E5">
        <w:rPr>
          <w:rFonts w:ascii="Times New Roman"/>
          <w:sz w:val="28"/>
          <w:szCs w:val="28"/>
        </w:rPr>
        <w:t xml:space="preserve"> </w:t>
      </w:r>
      <w:r w:rsidR="009138E5" w:rsidRPr="00D84D22">
        <w:rPr>
          <w:rFonts w:ascii="Times New Roman"/>
          <w:sz w:val="28"/>
          <w:szCs w:val="28"/>
        </w:rPr>
        <w:t>традиційно застосовуються</w:t>
      </w:r>
      <w:r w:rsidR="009138E5">
        <w:rPr>
          <w:rFonts w:ascii="Times New Roman"/>
          <w:sz w:val="28"/>
          <w:szCs w:val="28"/>
        </w:rPr>
        <w:t xml:space="preserve"> </w:t>
      </w:r>
      <w:r w:rsidR="00D84D22" w:rsidRPr="00D84D22">
        <w:rPr>
          <w:rFonts w:ascii="Times New Roman"/>
          <w:sz w:val="28"/>
          <w:szCs w:val="28"/>
        </w:rPr>
        <w:t xml:space="preserve">різні кількісні обмеження, як правило, обумовлюючи верхні межі на інвестиції в </w:t>
      </w:r>
      <w:r w:rsidR="009138E5">
        <w:rPr>
          <w:rFonts w:ascii="Times New Roman"/>
          <w:sz w:val="28"/>
          <w:szCs w:val="28"/>
        </w:rPr>
        <w:t>чітко визначені</w:t>
      </w:r>
      <w:r w:rsidR="00D84D22" w:rsidRPr="00D84D22">
        <w:rPr>
          <w:rFonts w:ascii="Times New Roman"/>
          <w:sz w:val="28"/>
          <w:szCs w:val="28"/>
        </w:rPr>
        <w:t xml:space="preserve"> клас</w:t>
      </w:r>
      <w:r w:rsidR="009138E5">
        <w:rPr>
          <w:rFonts w:ascii="Times New Roman"/>
          <w:sz w:val="28"/>
          <w:szCs w:val="28"/>
        </w:rPr>
        <w:t>и</w:t>
      </w:r>
      <w:r w:rsidR="00D84D22" w:rsidRPr="00D84D22">
        <w:rPr>
          <w:rFonts w:ascii="Times New Roman"/>
          <w:sz w:val="28"/>
          <w:szCs w:val="28"/>
        </w:rPr>
        <w:t xml:space="preserve"> активів, в тому числі </w:t>
      </w:r>
      <w:r w:rsidR="009138E5">
        <w:rPr>
          <w:rFonts w:ascii="Times New Roman"/>
          <w:sz w:val="28"/>
          <w:szCs w:val="28"/>
        </w:rPr>
        <w:t>і у власний капітал</w:t>
      </w:r>
      <w:r w:rsidR="00D84D22" w:rsidRPr="00D84D22">
        <w:rPr>
          <w:rFonts w:ascii="Times New Roman"/>
          <w:sz w:val="28"/>
          <w:szCs w:val="28"/>
        </w:rPr>
        <w:t>.</w:t>
      </w:r>
    </w:p>
    <w:p w:rsidR="00D84D22" w:rsidRPr="00D84D22" w:rsidRDefault="00D84D22" w:rsidP="009514D1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84D22">
        <w:rPr>
          <w:rFonts w:ascii="Times New Roman"/>
          <w:sz w:val="28"/>
          <w:szCs w:val="28"/>
        </w:rPr>
        <w:t>Країни, що розв</w:t>
      </w:r>
      <w:r w:rsidR="009138E5">
        <w:rPr>
          <w:rFonts w:ascii="Times New Roman"/>
          <w:sz w:val="28"/>
          <w:szCs w:val="28"/>
        </w:rPr>
        <w:t xml:space="preserve">иваються з ринковою економікою часто </w:t>
      </w:r>
      <w:r w:rsidRPr="00D84D22">
        <w:rPr>
          <w:rFonts w:ascii="Times New Roman"/>
          <w:sz w:val="28"/>
          <w:szCs w:val="28"/>
        </w:rPr>
        <w:t xml:space="preserve">підтримують кількісні інвестиційні ліміти через відсутність </w:t>
      </w:r>
      <w:r w:rsidR="009138E5">
        <w:rPr>
          <w:rFonts w:ascii="Times New Roman"/>
          <w:sz w:val="28"/>
          <w:szCs w:val="28"/>
        </w:rPr>
        <w:t>достатніх</w:t>
      </w:r>
      <w:r w:rsidRPr="00D84D22">
        <w:rPr>
          <w:rFonts w:ascii="Times New Roman"/>
          <w:sz w:val="28"/>
          <w:szCs w:val="28"/>
        </w:rPr>
        <w:t xml:space="preserve"> умов </w:t>
      </w:r>
      <w:r w:rsidR="009514D1">
        <w:rPr>
          <w:rFonts w:ascii="Times New Roman"/>
          <w:sz w:val="28"/>
          <w:szCs w:val="28"/>
        </w:rPr>
        <w:t>для експлуатації</w:t>
      </w:r>
      <w:r w:rsidRPr="00D84D22">
        <w:rPr>
          <w:rFonts w:ascii="Times New Roman"/>
          <w:sz w:val="28"/>
          <w:szCs w:val="28"/>
        </w:rPr>
        <w:t xml:space="preserve"> системи пенсійного забезпечення відповідно до правила </w:t>
      </w:r>
      <w:r w:rsidR="009514D1">
        <w:rPr>
          <w:rFonts w:ascii="Times New Roman"/>
          <w:sz w:val="28"/>
          <w:szCs w:val="28"/>
        </w:rPr>
        <w:t>«</w:t>
      </w:r>
      <w:r w:rsidRPr="00D84D22">
        <w:rPr>
          <w:rFonts w:ascii="Times New Roman"/>
          <w:sz w:val="28"/>
          <w:szCs w:val="28"/>
        </w:rPr>
        <w:t>обережний інвестор</w:t>
      </w:r>
      <w:r w:rsidR="009514D1">
        <w:rPr>
          <w:rFonts w:ascii="Times New Roman"/>
          <w:sz w:val="28"/>
          <w:szCs w:val="28"/>
        </w:rPr>
        <w:t>»</w:t>
      </w:r>
      <w:r w:rsidRPr="00D84D22">
        <w:rPr>
          <w:rFonts w:ascii="Times New Roman"/>
          <w:sz w:val="28"/>
          <w:szCs w:val="28"/>
        </w:rPr>
        <w:t>. Така система фактично вимагає ефективної судової системи з добре підгото</w:t>
      </w:r>
      <w:r w:rsidR="009514D1">
        <w:rPr>
          <w:rFonts w:ascii="Times New Roman"/>
          <w:sz w:val="28"/>
          <w:szCs w:val="28"/>
        </w:rPr>
        <w:t>вленими і поінформованими суддями</w:t>
      </w:r>
      <w:r w:rsidRPr="00D84D22">
        <w:rPr>
          <w:rFonts w:ascii="Times New Roman"/>
          <w:sz w:val="28"/>
          <w:szCs w:val="28"/>
        </w:rPr>
        <w:t xml:space="preserve">, </w:t>
      </w:r>
      <w:r w:rsidR="009514D1">
        <w:rPr>
          <w:rFonts w:ascii="Times New Roman"/>
          <w:sz w:val="28"/>
          <w:szCs w:val="28"/>
        </w:rPr>
        <w:t xml:space="preserve">які </w:t>
      </w:r>
      <w:r w:rsidRPr="00D84D22">
        <w:rPr>
          <w:rFonts w:ascii="Times New Roman"/>
          <w:sz w:val="28"/>
          <w:szCs w:val="28"/>
        </w:rPr>
        <w:t>здатн</w:t>
      </w:r>
      <w:r w:rsidR="009514D1">
        <w:rPr>
          <w:rFonts w:ascii="Times New Roman"/>
          <w:sz w:val="28"/>
          <w:szCs w:val="28"/>
        </w:rPr>
        <w:t xml:space="preserve">і </w:t>
      </w:r>
      <w:r w:rsidRPr="00D84D22">
        <w:rPr>
          <w:rFonts w:ascii="Times New Roman"/>
          <w:sz w:val="28"/>
          <w:szCs w:val="28"/>
        </w:rPr>
        <w:t>встановити чітку судову практику щодо поведінки інвесторів і</w:t>
      </w:r>
      <w:r w:rsidR="009514D1">
        <w:rPr>
          <w:rFonts w:ascii="Times New Roman"/>
          <w:sz w:val="28"/>
          <w:szCs w:val="28"/>
        </w:rPr>
        <w:t xml:space="preserve"> розсудливого гарантування виконання судових рішень.</w:t>
      </w:r>
    </w:p>
    <w:p w:rsidR="00D84D22" w:rsidRPr="00D84D22" w:rsidRDefault="00D84D22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84D22">
        <w:rPr>
          <w:rFonts w:ascii="Times New Roman"/>
          <w:sz w:val="28"/>
          <w:szCs w:val="28"/>
        </w:rPr>
        <w:t xml:space="preserve">Інвестиційні правила повинні </w:t>
      </w:r>
      <w:r w:rsidR="009514D1" w:rsidRPr="00D84D22">
        <w:rPr>
          <w:rFonts w:ascii="Times New Roman"/>
          <w:sz w:val="28"/>
          <w:szCs w:val="28"/>
        </w:rPr>
        <w:t>ґрунтуватися</w:t>
      </w:r>
      <w:r w:rsidRPr="00D84D22">
        <w:rPr>
          <w:rFonts w:ascii="Times New Roman"/>
          <w:sz w:val="28"/>
          <w:szCs w:val="28"/>
        </w:rPr>
        <w:t xml:space="preserve"> </w:t>
      </w:r>
      <w:r w:rsidR="009514D1">
        <w:rPr>
          <w:rFonts w:ascii="Times New Roman"/>
          <w:sz w:val="28"/>
          <w:szCs w:val="28"/>
        </w:rPr>
        <w:t>відповідно до рівня</w:t>
      </w:r>
      <w:r w:rsidRPr="00D84D22">
        <w:rPr>
          <w:rFonts w:ascii="Times New Roman"/>
          <w:sz w:val="28"/>
          <w:szCs w:val="28"/>
        </w:rPr>
        <w:t xml:space="preserve"> розвитку ринків капітал</w:t>
      </w:r>
      <w:r w:rsidR="009514D1">
        <w:rPr>
          <w:rFonts w:ascii="Times New Roman"/>
          <w:sz w:val="28"/>
          <w:szCs w:val="28"/>
        </w:rPr>
        <w:t>ів</w:t>
      </w:r>
      <w:r w:rsidRPr="00D84D22">
        <w:rPr>
          <w:rFonts w:ascii="Times New Roman"/>
          <w:sz w:val="28"/>
          <w:szCs w:val="28"/>
        </w:rPr>
        <w:t xml:space="preserve"> кожної країни і рівня </w:t>
      </w:r>
      <w:r w:rsidR="009514D1">
        <w:rPr>
          <w:rFonts w:ascii="Times New Roman"/>
          <w:sz w:val="28"/>
          <w:szCs w:val="28"/>
        </w:rPr>
        <w:t>обізнаності</w:t>
      </w:r>
      <w:r w:rsidRPr="00D84D22">
        <w:rPr>
          <w:rFonts w:ascii="Times New Roman"/>
          <w:sz w:val="28"/>
          <w:szCs w:val="28"/>
        </w:rPr>
        <w:t xml:space="preserve"> </w:t>
      </w:r>
      <w:r w:rsidR="009514D1">
        <w:rPr>
          <w:rFonts w:ascii="Times New Roman"/>
          <w:sz w:val="28"/>
          <w:szCs w:val="28"/>
        </w:rPr>
        <w:t>управителів фондами. Однак вимоги спрямовані головним чином на те, щоб</w:t>
      </w:r>
      <w:r w:rsidRPr="00D84D22">
        <w:rPr>
          <w:rFonts w:ascii="Times New Roman"/>
          <w:sz w:val="28"/>
          <w:szCs w:val="28"/>
        </w:rPr>
        <w:t xml:space="preserve"> </w:t>
      </w:r>
      <w:r w:rsidR="009514D1">
        <w:rPr>
          <w:rFonts w:ascii="Times New Roman"/>
          <w:sz w:val="28"/>
          <w:szCs w:val="28"/>
        </w:rPr>
        <w:t>зростали внутрішні інвестиції,</w:t>
      </w:r>
      <w:r w:rsidRPr="00D84D22">
        <w:rPr>
          <w:rFonts w:ascii="Times New Roman"/>
          <w:sz w:val="28"/>
          <w:szCs w:val="28"/>
        </w:rPr>
        <w:t xml:space="preserve"> або для фінансування державного боргу</w:t>
      </w:r>
      <w:r w:rsidR="009514D1">
        <w:rPr>
          <w:rFonts w:ascii="Times New Roman"/>
          <w:sz w:val="28"/>
          <w:szCs w:val="28"/>
        </w:rPr>
        <w:t>. Такі обмеження</w:t>
      </w:r>
      <w:r w:rsidRPr="00D84D22">
        <w:rPr>
          <w:rFonts w:ascii="Times New Roman"/>
          <w:sz w:val="28"/>
          <w:szCs w:val="28"/>
        </w:rPr>
        <w:t xml:space="preserve"> виступають за </w:t>
      </w:r>
      <w:r w:rsidR="009514D1">
        <w:rPr>
          <w:rFonts w:ascii="Times New Roman"/>
          <w:sz w:val="28"/>
          <w:szCs w:val="28"/>
        </w:rPr>
        <w:t>створення</w:t>
      </w:r>
      <w:r w:rsidRPr="00D84D22">
        <w:rPr>
          <w:rFonts w:ascii="Times New Roman"/>
          <w:sz w:val="28"/>
          <w:szCs w:val="28"/>
        </w:rPr>
        <w:t xml:space="preserve"> </w:t>
      </w:r>
      <w:r w:rsidR="009514D1">
        <w:rPr>
          <w:rFonts w:ascii="Times New Roman"/>
          <w:sz w:val="28"/>
          <w:szCs w:val="28"/>
        </w:rPr>
        <w:t xml:space="preserve">портфелів, де </w:t>
      </w:r>
      <w:r w:rsidRPr="00D84D22">
        <w:rPr>
          <w:rFonts w:ascii="Times New Roman"/>
          <w:sz w:val="28"/>
          <w:szCs w:val="28"/>
        </w:rPr>
        <w:t>державні облігації</w:t>
      </w:r>
      <w:r w:rsidR="009514D1">
        <w:rPr>
          <w:rFonts w:ascii="Times New Roman"/>
          <w:sz w:val="28"/>
          <w:szCs w:val="28"/>
        </w:rPr>
        <w:t xml:space="preserve"> мають значну перевагу</w:t>
      </w:r>
      <w:r w:rsidRPr="00D84D22">
        <w:rPr>
          <w:rFonts w:ascii="Times New Roman"/>
          <w:sz w:val="28"/>
          <w:szCs w:val="28"/>
        </w:rPr>
        <w:t>.</w:t>
      </w:r>
    </w:p>
    <w:p w:rsidR="00D84D22" w:rsidRPr="00D84D22" w:rsidRDefault="00D84D22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84D22">
        <w:rPr>
          <w:rFonts w:ascii="Times New Roman"/>
          <w:sz w:val="28"/>
          <w:szCs w:val="28"/>
        </w:rPr>
        <w:t>Оскільки системи дозрівають і кількісн</w:t>
      </w:r>
      <w:r w:rsidR="009514D1">
        <w:rPr>
          <w:rFonts w:ascii="Times New Roman"/>
          <w:sz w:val="28"/>
          <w:szCs w:val="28"/>
        </w:rPr>
        <w:t>і</w:t>
      </w:r>
      <w:r w:rsidRPr="00D84D22">
        <w:rPr>
          <w:rFonts w:ascii="Times New Roman"/>
          <w:sz w:val="28"/>
          <w:szCs w:val="28"/>
        </w:rPr>
        <w:t xml:space="preserve"> обмежен</w:t>
      </w:r>
      <w:r w:rsidR="009514D1">
        <w:rPr>
          <w:rFonts w:ascii="Times New Roman"/>
          <w:sz w:val="28"/>
          <w:szCs w:val="28"/>
        </w:rPr>
        <w:t>ня</w:t>
      </w:r>
      <w:r w:rsidRPr="00D84D22">
        <w:rPr>
          <w:rFonts w:ascii="Times New Roman"/>
          <w:sz w:val="28"/>
          <w:szCs w:val="28"/>
        </w:rPr>
        <w:t xml:space="preserve"> у конкретн</w:t>
      </w:r>
      <w:r w:rsidR="009514D1">
        <w:rPr>
          <w:rFonts w:ascii="Times New Roman"/>
          <w:sz w:val="28"/>
          <w:szCs w:val="28"/>
        </w:rPr>
        <w:t>і</w:t>
      </w:r>
      <w:r w:rsidRPr="00D84D22">
        <w:rPr>
          <w:rFonts w:ascii="Times New Roman"/>
          <w:sz w:val="28"/>
          <w:szCs w:val="28"/>
        </w:rPr>
        <w:t xml:space="preserve"> клас</w:t>
      </w:r>
      <w:r w:rsidR="009514D1">
        <w:rPr>
          <w:rFonts w:ascii="Times New Roman"/>
          <w:sz w:val="28"/>
          <w:szCs w:val="28"/>
        </w:rPr>
        <w:t>и</w:t>
      </w:r>
      <w:r w:rsidRPr="00D84D22">
        <w:rPr>
          <w:rFonts w:ascii="Times New Roman"/>
          <w:sz w:val="28"/>
          <w:szCs w:val="28"/>
        </w:rPr>
        <w:t xml:space="preserve"> активів знаходяться в </w:t>
      </w:r>
      <w:r w:rsidR="009514D1">
        <w:rPr>
          <w:rFonts w:ascii="Times New Roman"/>
          <w:sz w:val="28"/>
          <w:szCs w:val="28"/>
        </w:rPr>
        <w:t>нестабільному</w:t>
      </w:r>
      <w:r w:rsidRPr="00D84D22">
        <w:rPr>
          <w:rFonts w:ascii="Times New Roman"/>
          <w:sz w:val="28"/>
          <w:szCs w:val="28"/>
        </w:rPr>
        <w:t xml:space="preserve"> стані, пенсійні фонди можуть диверсифікувати свої портфелі і шукати більш високі можливості </w:t>
      </w:r>
      <w:r w:rsidR="009514D1">
        <w:rPr>
          <w:rFonts w:ascii="Times New Roman"/>
          <w:sz w:val="28"/>
          <w:szCs w:val="28"/>
        </w:rPr>
        <w:t xml:space="preserve">у </w:t>
      </w:r>
      <w:r w:rsidR="009514D1">
        <w:rPr>
          <w:rFonts w:ascii="Times New Roman"/>
          <w:sz w:val="28"/>
          <w:szCs w:val="28"/>
        </w:rPr>
        <w:lastRenderedPageBreak/>
        <w:t>відповідності «</w:t>
      </w:r>
      <w:r w:rsidRPr="00D84D22">
        <w:rPr>
          <w:rFonts w:ascii="Times New Roman"/>
          <w:sz w:val="28"/>
          <w:szCs w:val="28"/>
        </w:rPr>
        <w:t>ризик-прибутковість</w:t>
      </w:r>
      <w:r w:rsidR="009514D1">
        <w:rPr>
          <w:rFonts w:ascii="Times New Roman"/>
          <w:sz w:val="28"/>
          <w:szCs w:val="28"/>
        </w:rPr>
        <w:t>»</w:t>
      </w:r>
      <w:r w:rsidRPr="00D84D22">
        <w:rPr>
          <w:rFonts w:ascii="Times New Roman"/>
          <w:sz w:val="28"/>
          <w:szCs w:val="28"/>
        </w:rPr>
        <w:t>. В кінцевому рахунку, вплив</w:t>
      </w:r>
      <w:r w:rsidR="009514D1">
        <w:rPr>
          <w:rFonts w:ascii="Times New Roman"/>
          <w:sz w:val="28"/>
          <w:szCs w:val="28"/>
        </w:rPr>
        <w:t xml:space="preserve"> на </w:t>
      </w:r>
      <w:r w:rsidRPr="00D84D22">
        <w:rPr>
          <w:rFonts w:ascii="Times New Roman"/>
          <w:sz w:val="28"/>
          <w:szCs w:val="28"/>
        </w:rPr>
        <w:t xml:space="preserve"> ослаблення кількісних обмежень буде </w:t>
      </w:r>
      <w:r w:rsidR="009514D1">
        <w:rPr>
          <w:rFonts w:ascii="Times New Roman"/>
          <w:sz w:val="28"/>
          <w:szCs w:val="28"/>
        </w:rPr>
        <w:t>зумовлено</w:t>
      </w:r>
      <w:r w:rsidRPr="00D84D22">
        <w:rPr>
          <w:rFonts w:ascii="Times New Roman"/>
          <w:sz w:val="28"/>
          <w:szCs w:val="28"/>
        </w:rPr>
        <w:t xml:space="preserve"> глибиною місц</w:t>
      </w:r>
      <w:r w:rsidR="009514D1">
        <w:rPr>
          <w:rFonts w:ascii="Times New Roman"/>
          <w:sz w:val="28"/>
          <w:szCs w:val="28"/>
        </w:rPr>
        <w:t>евих ринків капіталу і наявністю</w:t>
      </w:r>
      <w:r w:rsidRPr="00D84D22">
        <w:rPr>
          <w:rFonts w:ascii="Times New Roman"/>
          <w:sz w:val="28"/>
          <w:szCs w:val="28"/>
        </w:rPr>
        <w:t xml:space="preserve"> внутрішніх інструментів.</w:t>
      </w:r>
    </w:p>
    <w:p w:rsidR="00D84D22" w:rsidRPr="00D84D22" w:rsidRDefault="00D84D22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84D22">
        <w:rPr>
          <w:rFonts w:ascii="Times New Roman"/>
          <w:sz w:val="28"/>
          <w:szCs w:val="28"/>
        </w:rPr>
        <w:t xml:space="preserve">Регулювання є одним з основних </w:t>
      </w:r>
      <w:r w:rsidR="009514D1">
        <w:rPr>
          <w:rFonts w:ascii="Times New Roman"/>
          <w:sz w:val="28"/>
          <w:szCs w:val="28"/>
        </w:rPr>
        <w:t>драйвер</w:t>
      </w:r>
      <w:r w:rsidR="00DF0982">
        <w:rPr>
          <w:rFonts w:ascii="Times New Roman"/>
          <w:sz w:val="28"/>
          <w:szCs w:val="28"/>
        </w:rPr>
        <w:t>ів</w:t>
      </w:r>
      <w:r w:rsidR="009514D1" w:rsidRPr="009514D1">
        <w:rPr>
          <w:rFonts w:ascii="Times New Roman"/>
          <w:sz w:val="28"/>
          <w:szCs w:val="28"/>
        </w:rPr>
        <w:t xml:space="preserve"> </w:t>
      </w:r>
      <w:r w:rsidR="009514D1" w:rsidRPr="00D84D22">
        <w:rPr>
          <w:rFonts w:ascii="Times New Roman"/>
          <w:sz w:val="28"/>
          <w:szCs w:val="28"/>
        </w:rPr>
        <w:t>інвестиційних стратегій</w:t>
      </w:r>
      <w:r w:rsidR="009514D1">
        <w:rPr>
          <w:rFonts w:ascii="Times New Roman"/>
          <w:sz w:val="28"/>
          <w:szCs w:val="28"/>
        </w:rPr>
        <w:t xml:space="preserve"> пенсійних фондів</w:t>
      </w:r>
      <w:r w:rsidRPr="00D84D22">
        <w:rPr>
          <w:rFonts w:ascii="Times New Roman"/>
          <w:sz w:val="28"/>
          <w:szCs w:val="28"/>
        </w:rPr>
        <w:t xml:space="preserve">. Пенсійні фонди, в зв'язку з їх </w:t>
      </w:r>
      <w:proofErr w:type="spellStart"/>
      <w:r w:rsidRPr="00D84D22">
        <w:rPr>
          <w:rFonts w:ascii="Times New Roman"/>
          <w:sz w:val="28"/>
          <w:szCs w:val="28"/>
        </w:rPr>
        <w:t>ф</w:t>
      </w:r>
      <w:r w:rsidR="009514D1">
        <w:rPr>
          <w:rFonts w:ascii="Times New Roman"/>
          <w:sz w:val="28"/>
          <w:szCs w:val="28"/>
        </w:rPr>
        <w:t>ідуціарною</w:t>
      </w:r>
      <w:proofErr w:type="spellEnd"/>
      <w:r w:rsidR="009514D1">
        <w:rPr>
          <w:rFonts w:ascii="Times New Roman"/>
          <w:sz w:val="28"/>
          <w:szCs w:val="28"/>
        </w:rPr>
        <w:t xml:space="preserve"> </w:t>
      </w:r>
      <w:proofErr w:type="spellStart"/>
      <w:r w:rsidR="009514D1">
        <w:rPr>
          <w:rFonts w:ascii="Times New Roman"/>
          <w:sz w:val="28"/>
          <w:szCs w:val="28"/>
        </w:rPr>
        <w:t>відповідальностю</w:t>
      </w:r>
      <w:proofErr w:type="spellEnd"/>
      <w:r w:rsidRPr="00D84D22">
        <w:rPr>
          <w:rFonts w:ascii="Times New Roman"/>
          <w:sz w:val="28"/>
          <w:szCs w:val="28"/>
        </w:rPr>
        <w:t>, як прави</w:t>
      </w:r>
      <w:r w:rsidR="00DF0982">
        <w:rPr>
          <w:rFonts w:ascii="Times New Roman"/>
          <w:sz w:val="28"/>
          <w:szCs w:val="28"/>
        </w:rPr>
        <w:t xml:space="preserve">ло, в значній мірі регулюються у відповідності до </w:t>
      </w:r>
      <w:r w:rsidRPr="00D84D22">
        <w:rPr>
          <w:rFonts w:ascii="Times New Roman"/>
          <w:sz w:val="28"/>
          <w:szCs w:val="28"/>
        </w:rPr>
        <w:t xml:space="preserve">профілів </w:t>
      </w:r>
      <w:r w:rsidR="00DF0982" w:rsidRPr="00D84D22">
        <w:rPr>
          <w:rFonts w:ascii="Times New Roman"/>
          <w:sz w:val="28"/>
          <w:szCs w:val="28"/>
        </w:rPr>
        <w:t xml:space="preserve">їх </w:t>
      </w:r>
      <w:r w:rsidRPr="00D84D22">
        <w:rPr>
          <w:rFonts w:ascii="Times New Roman"/>
          <w:sz w:val="28"/>
          <w:szCs w:val="28"/>
        </w:rPr>
        <w:t>ризик</w:t>
      </w:r>
      <w:r w:rsidR="00DF0982">
        <w:rPr>
          <w:rFonts w:ascii="Times New Roman"/>
          <w:sz w:val="28"/>
          <w:szCs w:val="28"/>
        </w:rPr>
        <w:t xml:space="preserve">ів. </w:t>
      </w:r>
      <w:r w:rsidRPr="00D84D22">
        <w:rPr>
          <w:rFonts w:ascii="Times New Roman"/>
          <w:sz w:val="28"/>
          <w:szCs w:val="28"/>
        </w:rPr>
        <w:t>В цілому мінімальні рівні кредитоспроможності для допустимих інвестицій - часто на основі рейтингу інвестиційного рівня, присвоєний рей</w:t>
      </w:r>
      <w:r w:rsidR="00DF0982">
        <w:rPr>
          <w:rFonts w:ascii="Times New Roman"/>
          <w:sz w:val="28"/>
          <w:szCs w:val="28"/>
        </w:rPr>
        <w:t>тинговими агентствами - обмежують</w:t>
      </w:r>
      <w:r w:rsidRPr="00D84D22">
        <w:rPr>
          <w:rFonts w:ascii="Times New Roman"/>
          <w:sz w:val="28"/>
          <w:szCs w:val="28"/>
        </w:rPr>
        <w:t xml:space="preserve"> вибір інвестиційних можливостей для пенсійних фондів.</w:t>
      </w:r>
    </w:p>
    <w:p w:rsidR="006D4D1C" w:rsidRDefault="00DF0982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І</w:t>
      </w:r>
      <w:r w:rsidR="00D84D22" w:rsidRPr="00D84D22">
        <w:rPr>
          <w:rFonts w:ascii="Times New Roman"/>
          <w:sz w:val="28"/>
          <w:szCs w:val="28"/>
        </w:rPr>
        <w:t xml:space="preserve">нвестиційні обмеження можуть бути згруповані в три основні категорії: </w:t>
      </w:r>
      <w:r w:rsidRPr="00DF0982">
        <w:rPr>
          <w:rFonts w:ascii="Times New Roman"/>
          <w:sz w:val="28"/>
          <w:szCs w:val="28"/>
        </w:rPr>
        <w:t>обмеження портфелю за окремою групою активів</w:t>
      </w:r>
      <w:r w:rsidR="00D84D22" w:rsidRPr="00D84D22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п</w:t>
      </w:r>
      <w:r w:rsidRPr="00DF0982">
        <w:rPr>
          <w:rFonts w:ascii="Times New Roman"/>
          <w:sz w:val="28"/>
          <w:szCs w:val="28"/>
        </w:rPr>
        <w:t>ортфельні ліміти на інвестиції пенсійних фондів в іноземні активи</w:t>
      </w:r>
      <w:r w:rsidR="00D84D22" w:rsidRPr="00D84D22">
        <w:rPr>
          <w:rFonts w:ascii="Times New Roman"/>
          <w:sz w:val="28"/>
          <w:szCs w:val="28"/>
        </w:rPr>
        <w:t xml:space="preserve"> і інш</w:t>
      </w:r>
      <w:r>
        <w:rPr>
          <w:rFonts w:ascii="Times New Roman"/>
          <w:sz w:val="28"/>
          <w:szCs w:val="28"/>
        </w:rPr>
        <w:t>і</w:t>
      </w:r>
      <w:r w:rsidR="00D84D22" w:rsidRPr="00D84D22">
        <w:rPr>
          <w:rFonts w:ascii="Times New Roman"/>
          <w:sz w:val="28"/>
          <w:szCs w:val="28"/>
        </w:rPr>
        <w:t xml:space="preserve"> кількісн</w:t>
      </w:r>
      <w:r>
        <w:rPr>
          <w:rFonts w:ascii="Times New Roman"/>
          <w:sz w:val="28"/>
          <w:szCs w:val="28"/>
        </w:rPr>
        <w:t>і інвестиційні</w:t>
      </w:r>
      <w:r w:rsidR="00D84D22" w:rsidRPr="00D84D22">
        <w:rPr>
          <w:rFonts w:ascii="Times New Roman"/>
          <w:sz w:val="28"/>
          <w:szCs w:val="28"/>
        </w:rPr>
        <w:t xml:space="preserve"> правил</w:t>
      </w:r>
      <w:r>
        <w:rPr>
          <w:rFonts w:ascii="Times New Roman"/>
          <w:sz w:val="28"/>
          <w:szCs w:val="28"/>
        </w:rPr>
        <w:t>а</w:t>
      </w:r>
      <w:r w:rsidR="00C160D6">
        <w:rPr>
          <w:rFonts w:ascii="Times New Roman"/>
          <w:sz w:val="28"/>
          <w:szCs w:val="28"/>
        </w:rPr>
        <w:t xml:space="preserve"> (табл.1)</w:t>
      </w:r>
      <w:r w:rsidR="00D84D22" w:rsidRPr="00D84D22">
        <w:rPr>
          <w:rFonts w:ascii="Times New Roman"/>
          <w:sz w:val="28"/>
          <w:szCs w:val="28"/>
        </w:rPr>
        <w:t>.</w:t>
      </w:r>
    </w:p>
    <w:p w:rsidR="00DF0982" w:rsidRDefault="00DF0982" w:rsidP="00DF0982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Таблиця</w:t>
      </w:r>
      <w:r w:rsidR="00C160D6">
        <w:rPr>
          <w:rFonts w:ascii="Times New Roman"/>
          <w:sz w:val="28"/>
          <w:szCs w:val="28"/>
        </w:rPr>
        <w:t xml:space="preserve">1 </w:t>
      </w:r>
    </w:p>
    <w:p w:rsidR="00DF0982" w:rsidRPr="00F3256D" w:rsidRDefault="00DF0982" w:rsidP="00DF0982">
      <w:pPr>
        <w:spacing w:after="0" w:line="360" w:lineRule="auto"/>
        <w:ind w:firstLine="709"/>
        <w:jc w:val="center"/>
        <w:rPr>
          <w:rFonts w:ascii="Times New Roman"/>
          <w:i/>
          <w:sz w:val="28"/>
          <w:szCs w:val="28"/>
        </w:rPr>
      </w:pPr>
      <w:r w:rsidRPr="00F3256D">
        <w:rPr>
          <w:rFonts w:ascii="Times New Roman"/>
          <w:i/>
          <w:sz w:val="28"/>
          <w:szCs w:val="28"/>
        </w:rPr>
        <w:t>Інвестиційні обмеження інвестиційних фондів у деяких країнах світу*</w:t>
      </w:r>
    </w:p>
    <w:p w:rsidR="00D84D22" w:rsidRDefault="00D84D22" w:rsidP="00D84D2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84D22" w:rsidRPr="004623ED" w:rsidTr="00D84D22">
        <w:tc>
          <w:tcPr>
            <w:tcW w:w="2547" w:type="dxa"/>
          </w:tcPr>
          <w:p w:rsidR="00D84D22" w:rsidRPr="004623ED" w:rsidRDefault="00D84D22" w:rsidP="004623ED">
            <w:pPr>
              <w:jc w:val="both"/>
              <w:rPr>
                <w:rFonts w:ascii="Times New Roman"/>
                <w:b/>
                <w:sz w:val="24"/>
                <w:szCs w:val="24"/>
              </w:rPr>
            </w:pPr>
            <w:r w:rsidRPr="004623ED">
              <w:rPr>
                <w:rFonts w:ascii="Times New Roman"/>
                <w:b/>
                <w:sz w:val="24"/>
                <w:szCs w:val="24"/>
              </w:rPr>
              <w:t>Кількісне регулювання</w:t>
            </w:r>
          </w:p>
        </w:tc>
        <w:tc>
          <w:tcPr>
            <w:tcW w:w="6469" w:type="dxa"/>
          </w:tcPr>
          <w:p w:rsidR="00D84D22" w:rsidRPr="004623ED" w:rsidRDefault="00D84D22" w:rsidP="004623ED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623ED">
              <w:rPr>
                <w:rFonts w:ascii="Times New Roman"/>
                <w:b/>
                <w:sz w:val="24"/>
                <w:szCs w:val="24"/>
              </w:rPr>
              <w:t>Приклади</w:t>
            </w:r>
          </w:p>
        </w:tc>
      </w:tr>
      <w:tr w:rsidR="00D84D22" w:rsidRPr="004623ED" w:rsidTr="00DF0982">
        <w:tc>
          <w:tcPr>
            <w:tcW w:w="9016" w:type="dxa"/>
            <w:gridSpan w:val="2"/>
          </w:tcPr>
          <w:p w:rsidR="00D84D22" w:rsidRPr="004623ED" w:rsidRDefault="00D84D22" w:rsidP="004623ED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4623ED">
              <w:rPr>
                <w:rFonts w:ascii="Times New Roman"/>
                <w:b/>
                <w:sz w:val="24"/>
                <w:szCs w:val="24"/>
              </w:rPr>
              <w:t>Обмеження портфелю за окремою групою активів</w:t>
            </w:r>
          </w:p>
        </w:tc>
      </w:tr>
      <w:tr w:rsidR="00D84D22" w:rsidRPr="004623ED" w:rsidTr="00D84D22">
        <w:tc>
          <w:tcPr>
            <w:tcW w:w="2547" w:type="dxa"/>
          </w:tcPr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Інвестування в акціонерний капітал</w:t>
            </w:r>
          </w:p>
        </w:tc>
        <w:tc>
          <w:tcPr>
            <w:tcW w:w="6469" w:type="dxa"/>
          </w:tcPr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Деякі країни накладають обмеження на частку власного капіталу, що інвестується: Австрія,</w:t>
            </w:r>
          </w:p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Чехія, Данія, Фінляндія, Німеччина, Греція, Ісландія, Корея, Норвегія, Польща, Словаччина, Швеція, Швейцарія та Туреччина.</w:t>
            </w:r>
          </w:p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Пенсійні фонди в Німеччині мають обмеження частки у власному капіталі 35%, якщо компанія пройшла лістинг і 10%, які не в лістингу</w:t>
            </w:r>
          </w:p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  <w:tr w:rsidR="00D84D22" w:rsidRPr="004623ED" w:rsidTr="00D84D22">
        <w:tc>
          <w:tcPr>
            <w:tcW w:w="2547" w:type="dxa"/>
          </w:tcPr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sz w:val="24"/>
                <w:szCs w:val="24"/>
              </w:rPr>
              <w:t>Інвестування</w:t>
            </w:r>
            <w:r w:rsidRPr="004623ED">
              <w:rPr>
                <w:sz w:val="24"/>
                <w:szCs w:val="24"/>
              </w:rPr>
              <w:t xml:space="preserve"> </w:t>
            </w:r>
            <w:r w:rsidRPr="004623ED">
              <w:rPr>
                <w:sz w:val="24"/>
                <w:szCs w:val="24"/>
              </w:rPr>
              <w:t>в</w:t>
            </w:r>
            <w:r w:rsidRPr="004623ED">
              <w:rPr>
                <w:sz w:val="24"/>
                <w:szCs w:val="24"/>
              </w:rPr>
              <w:t xml:space="preserve"> </w:t>
            </w:r>
            <w:r w:rsidRPr="004623ED">
              <w:rPr>
                <w:sz w:val="24"/>
                <w:szCs w:val="24"/>
              </w:rPr>
              <w:t>приватні</w:t>
            </w:r>
            <w:r w:rsidRPr="004623ED">
              <w:rPr>
                <w:sz w:val="24"/>
                <w:szCs w:val="24"/>
              </w:rPr>
              <w:t xml:space="preserve"> </w:t>
            </w:r>
            <w:r w:rsidRPr="004623ED">
              <w:rPr>
                <w:sz w:val="24"/>
                <w:szCs w:val="24"/>
              </w:rPr>
              <w:t>інвестиційні</w:t>
            </w:r>
            <w:r w:rsidRPr="004623ED">
              <w:rPr>
                <w:sz w:val="24"/>
                <w:szCs w:val="24"/>
              </w:rPr>
              <w:t xml:space="preserve"> </w:t>
            </w:r>
            <w:r w:rsidRPr="004623ED">
              <w:rPr>
                <w:sz w:val="24"/>
                <w:szCs w:val="24"/>
              </w:rPr>
              <w:t>фонди</w:t>
            </w:r>
          </w:p>
        </w:tc>
        <w:tc>
          <w:tcPr>
            <w:tcW w:w="6469" w:type="dxa"/>
          </w:tcPr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В Данії та Іспанії не дозволено інвестувати більше 10% і 30%</w:t>
            </w:r>
          </w:p>
          <w:p w:rsidR="00D84D22" w:rsidRPr="004623ED" w:rsidRDefault="00D84D22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відповідно в приватні інвестиційні фонди і нерухомості. Інвестиції в приватні інвестиційні фонди повністю виключені в Південній Кореї (корпоративні пенсії), Чилі та Південній Африці</w:t>
            </w:r>
          </w:p>
        </w:tc>
      </w:tr>
      <w:tr w:rsidR="00D84D22" w:rsidRPr="004623ED" w:rsidTr="00DF0982">
        <w:tc>
          <w:tcPr>
            <w:tcW w:w="9016" w:type="dxa"/>
            <w:gridSpan w:val="2"/>
          </w:tcPr>
          <w:p w:rsidR="00D84D22" w:rsidRPr="004623ED" w:rsidRDefault="00872941" w:rsidP="004623ED">
            <w:pPr>
              <w:jc w:val="center"/>
              <w:rPr>
                <w:rFonts w:ascii="Times New Roman"/>
                <w:b/>
                <w:i/>
                <w:sz w:val="24"/>
                <w:szCs w:val="24"/>
              </w:rPr>
            </w:pPr>
            <w:r w:rsidRPr="004623ED">
              <w:rPr>
                <w:rFonts w:ascii="Times New Roman"/>
                <w:b/>
                <w:i/>
                <w:sz w:val="24"/>
                <w:szCs w:val="24"/>
              </w:rPr>
              <w:t>Портфельні ліміти на інвестиції пенсійних фондів в іноземні активи</w:t>
            </w:r>
          </w:p>
        </w:tc>
      </w:tr>
      <w:tr w:rsidR="00D84D22" w:rsidRPr="004623ED" w:rsidTr="00D84D22">
        <w:tc>
          <w:tcPr>
            <w:tcW w:w="2547" w:type="dxa"/>
          </w:tcPr>
          <w:p w:rsidR="00872941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lastRenderedPageBreak/>
              <w:t>Глобальні обмеження інвестицій в зарубіжні</w:t>
            </w:r>
          </w:p>
          <w:p w:rsidR="00D84D22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активи</w:t>
            </w:r>
          </w:p>
        </w:tc>
        <w:tc>
          <w:tcPr>
            <w:tcW w:w="6469" w:type="dxa"/>
          </w:tcPr>
          <w:p w:rsidR="00D84D22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Австрія має глобальне обмеження інвестицій в іноземні активи на 30%. Корея і Мексика обмежуються 20% в зарубіжні інвестиції і Швейцарія має межу 30% в іноземні інвестицій. Інші країни обмежують закордонні інвестиції по певній групі країн (ОЕСР або ЄС). До них відносяться Чеська Республіка, Данія, Фінляндія, Німеччина, Греція, Угорщина, Ісландія, Італія і Португалія.</w:t>
            </w:r>
          </w:p>
        </w:tc>
      </w:tr>
      <w:tr w:rsidR="00872941" w:rsidRPr="004623ED" w:rsidTr="00DF0982">
        <w:tc>
          <w:tcPr>
            <w:tcW w:w="9016" w:type="dxa"/>
            <w:gridSpan w:val="2"/>
          </w:tcPr>
          <w:p w:rsidR="00872941" w:rsidRPr="004623ED" w:rsidRDefault="00872941" w:rsidP="004623ED">
            <w:pPr>
              <w:jc w:val="center"/>
              <w:rPr>
                <w:rFonts w:ascii="Times New Roman"/>
                <w:b/>
                <w:i/>
                <w:sz w:val="24"/>
                <w:szCs w:val="24"/>
              </w:rPr>
            </w:pPr>
            <w:r w:rsidRPr="004623ED">
              <w:rPr>
                <w:rFonts w:ascii="Times New Roman"/>
                <w:b/>
                <w:i/>
                <w:sz w:val="24"/>
                <w:szCs w:val="24"/>
              </w:rPr>
              <w:t>Інші кількісні інвестиційні правила</w:t>
            </w:r>
          </w:p>
        </w:tc>
      </w:tr>
      <w:tr w:rsidR="00D84D22" w:rsidRPr="004623ED" w:rsidTr="00D84D22">
        <w:tc>
          <w:tcPr>
            <w:tcW w:w="2547" w:type="dxa"/>
          </w:tcPr>
          <w:p w:rsidR="00D84D22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Граничні обмеження концентрації власності</w:t>
            </w:r>
          </w:p>
        </w:tc>
        <w:tc>
          <w:tcPr>
            <w:tcW w:w="6469" w:type="dxa"/>
          </w:tcPr>
          <w:p w:rsidR="00D84D22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>У Канаді фонди можуть володіти не більше 30% голосуючих акцій однієї компанії (за винятком нерухомого майна).</w:t>
            </w:r>
          </w:p>
        </w:tc>
      </w:tr>
      <w:tr w:rsidR="00872941" w:rsidRPr="004623ED" w:rsidTr="00D84D22">
        <w:tc>
          <w:tcPr>
            <w:tcW w:w="2547" w:type="dxa"/>
          </w:tcPr>
          <w:p w:rsidR="00872941" w:rsidRPr="004623ED" w:rsidRDefault="00872941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 xml:space="preserve">Інвестиційні ліміти </w:t>
            </w:r>
            <w:r w:rsidR="004623ED" w:rsidRPr="004623ED">
              <w:rPr>
                <w:rFonts w:ascii="Times New Roman"/>
                <w:sz w:val="24"/>
                <w:szCs w:val="24"/>
              </w:rPr>
              <w:t>на одн</w:t>
            </w:r>
            <w:r w:rsidRPr="004623ED">
              <w:rPr>
                <w:rFonts w:ascii="Times New Roman"/>
                <w:sz w:val="24"/>
                <w:szCs w:val="24"/>
              </w:rPr>
              <w:t>ого емітента / випуску</w:t>
            </w:r>
          </w:p>
        </w:tc>
        <w:tc>
          <w:tcPr>
            <w:tcW w:w="6469" w:type="dxa"/>
          </w:tcPr>
          <w:p w:rsidR="00872941" w:rsidRPr="004623ED" w:rsidRDefault="004623ED" w:rsidP="004623ED">
            <w:pPr>
              <w:jc w:val="both"/>
              <w:rPr>
                <w:rFonts w:ascii="Times New Roman"/>
                <w:sz w:val="24"/>
                <w:szCs w:val="24"/>
              </w:rPr>
            </w:pPr>
            <w:r w:rsidRPr="004623ED">
              <w:rPr>
                <w:rFonts w:ascii="Times New Roman"/>
                <w:sz w:val="24"/>
                <w:szCs w:val="24"/>
              </w:rPr>
              <w:t xml:space="preserve">Данія дозволяє максимально інвестувати 5% від фонду на придбання зобов’язань одного емітента </w:t>
            </w:r>
          </w:p>
        </w:tc>
      </w:tr>
    </w:tbl>
    <w:p w:rsidR="00D84D22" w:rsidRPr="00DF0982" w:rsidRDefault="00DF0982" w:rsidP="00D84D22">
      <w:pPr>
        <w:spacing w:after="0" w:line="360" w:lineRule="auto"/>
        <w:ind w:firstLine="709"/>
        <w:jc w:val="both"/>
        <w:rPr>
          <w:rFonts w:ascii="Times New Roman"/>
          <w:i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*Складено автором на основі </w:t>
      </w:r>
      <w:r w:rsidRPr="00DF0982">
        <w:rPr>
          <w:rFonts w:ascii="Times New Roman"/>
          <w:i/>
          <w:sz w:val="28"/>
          <w:szCs w:val="28"/>
        </w:rPr>
        <w:t xml:space="preserve">OECD – </w:t>
      </w:r>
      <w:proofErr w:type="spellStart"/>
      <w:r w:rsidRPr="00DF0982">
        <w:rPr>
          <w:rFonts w:ascii="Times New Roman"/>
          <w:i/>
          <w:sz w:val="28"/>
          <w:szCs w:val="28"/>
        </w:rPr>
        <w:t>Survey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of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Investment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Regulations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of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Pension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DF0982">
        <w:rPr>
          <w:rFonts w:ascii="Times New Roman"/>
          <w:i/>
          <w:sz w:val="28"/>
          <w:szCs w:val="28"/>
        </w:rPr>
        <w:t>Funds</w:t>
      </w:r>
      <w:proofErr w:type="spellEnd"/>
      <w:r w:rsidRPr="00DF0982">
        <w:rPr>
          <w:rFonts w:ascii="Times New Roman"/>
          <w:i/>
          <w:sz w:val="28"/>
          <w:szCs w:val="28"/>
        </w:rPr>
        <w:t xml:space="preserve"> 2010</w:t>
      </w:r>
      <w:r w:rsidR="00C160D6">
        <w:rPr>
          <w:rFonts w:ascii="Times New Roman"/>
          <w:i/>
          <w:sz w:val="28"/>
          <w:szCs w:val="28"/>
          <w:lang w:val="en-US"/>
        </w:rPr>
        <w:t xml:space="preserve"> [10]</w:t>
      </w:r>
      <w:r w:rsidRPr="00DF0982">
        <w:rPr>
          <w:rFonts w:ascii="Times New Roman"/>
          <w:i/>
          <w:sz w:val="28"/>
          <w:szCs w:val="28"/>
        </w:rPr>
        <w:t>.</w:t>
      </w:r>
    </w:p>
    <w:p w:rsidR="00DF0982" w:rsidRPr="00DF0982" w:rsidRDefault="00DF0982" w:rsidP="005A3835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У Латвії, інвестиційні правила розрізняються, залежно від того, </w:t>
      </w:r>
      <w:r w:rsidR="00036BCD">
        <w:rPr>
          <w:rFonts w:ascii="Times New Roman"/>
          <w:sz w:val="28"/>
          <w:szCs w:val="28"/>
        </w:rPr>
        <w:t xml:space="preserve">чи </w:t>
      </w:r>
      <w:r w:rsidRPr="00DF0982">
        <w:rPr>
          <w:rFonts w:ascii="Times New Roman"/>
          <w:sz w:val="28"/>
          <w:szCs w:val="28"/>
        </w:rPr>
        <w:t xml:space="preserve">пенсійні плани знаходяться у </w:t>
      </w:r>
      <w:proofErr w:type="spellStart"/>
      <w:r w:rsidR="007D1F6E">
        <w:rPr>
          <w:rFonts w:ascii="Times New Roman"/>
          <w:sz w:val="28"/>
          <w:szCs w:val="28"/>
        </w:rPr>
        <w:t>підвідомстві</w:t>
      </w:r>
      <w:proofErr w:type="spellEnd"/>
      <w:r w:rsidRPr="00DF0982">
        <w:rPr>
          <w:rFonts w:ascii="Times New Roman"/>
          <w:sz w:val="28"/>
          <w:szCs w:val="28"/>
        </w:rPr>
        <w:t xml:space="preserve"> Державного казначейства </w:t>
      </w:r>
      <w:r w:rsidR="00036BCD">
        <w:rPr>
          <w:rFonts w:ascii="Times New Roman"/>
          <w:sz w:val="28"/>
          <w:szCs w:val="28"/>
        </w:rPr>
        <w:t xml:space="preserve">чи </w:t>
      </w:r>
      <w:r w:rsidRPr="00DF0982">
        <w:rPr>
          <w:rFonts w:ascii="Times New Roman"/>
          <w:sz w:val="28"/>
          <w:szCs w:val="28"/>
        </w:rPr>
        <w:t xml:space="preserve"> приватни</w:t>
      </w:r>
      <w:r w:rsidR="00036BCD">
        <w:rPr>
          <w:rFonts w:ascii="Times New Roman"/>
          <w:sz w:val="28"/>
          <w:szCs w:val="28"/>
        </w:rPr>
        <w:t>х</w:t>
      </w:r>
      <w:r w:rsidRPr="00DF0982">
        <w:rPr>
          <w:rFonts w:ascii="Times New Roman"/>
          <w:sz w:val="28"/>
          <w:szCs w:val="28"/>
        </w:rPr>
        <w:t xml:space="preserve"> компані</w:t>
      </w:r>
      <w:r w:rsidR="00036BCD">
        <w:rPr>
          <w:rFonts w:ascii="Times New Roman"/>
          <w:sz w:val="28"/>
          <w:szCs w:val="28"/>
        </w:rPr>
        <w:t>й</w:t>
      </w:r>
      <w:r w:rsidRPr="00DF0982">
        <w:rPr>
          <w:rFonts w:ascii="Times New Roman"/>
          <w:sz w:val="28"/>
          <w:szCs w:val="28"/>
        </w:rPr>
        <w:t>. Державне казначейство дозвол</w:t>
      </w:r>
      <w:r w:rsidR="005A3835">
        <w:rPr>
          <w:rFonts w:ascii="Times New Roman"/>
          <w:sz w:val="28"/>
          <w:szCs w:val="28"/>
        </w:rPr>
        <w:t>яє</w:t>
      </w:r>
      <w:r w:rsidRPr="00DF0982">
        <w:rPr>
          <w:rFonts w:ascii="Times New Roman"/>
          <w:sz w:val="28"/>
          <w:szCs w:val="28"/>
        </w:rPr>
        <w:t xml:space="preserve"> </w:t>
      </w:r>
      <w:r w:rsidR="005A3835" w:rsidRPr="00DF0982">
        <w:rPr>
          <w:rFonts w:ascii="Times New Roman"/>
          <w:sz w:val="28"/>
          <w:szCs w:val="28"/>
        </w:rPr>
        <w:t>інвестувати</w:t>
      </w:r>
      <w:r w:rsidR="005A3835" w:rsidRPr="00DF0982">
        <w:rPr>
          <w:rFonts w:ascii="Times New Roman"/>
          <w:sz w:val="28"/>
          <w:szCs w:val="28"/>
        </w:rPr>
        <w:t xml:space="preserve"> </w:t>
      </w:r>
      <w:r w:rsidRPr="00DF0982">
        <w:rPr>
          <w:rFonts w:ascii="Times New Roman"/>
          <w:sz w:val="28"/>
          <w:szCs w:val="28"/>
        </w:rPr>
        <w:t xml:space="preserve">тільки в державні цінні папери </w:t>
      </w:r>
      <w:r w:rsidR="005A3835">
        <w:rPr>
          <w:rFonts w:ascii="Times New Roman"/>
          <w:sz w:val="28"/>
          <w:szCs w:val="28"/>
        </w:rPr>
        <w:t>Латвії</w:t>
      </w:r>
      <w:r w:rsidRPr="00DF0982">
        <w:rPr>
          <w:rFonts w:ascii="Times New Roman"/>
          <w:sz w:val="28"/>
          <w:szCs w:val="28"/>
        </w:rPr>
        <w:t xml:space="preserve">, банківські депозити, іпотечні облігації та депозитні сертифікати. Крім того, інвестувати </w:t>
      </w:r>
      <w:r w:rsidR="005A3835">
        <w:rPr>
          <w:rFonts w:ascii="Times New Roman"/>
          <w:sz w:val="28"/>
          <w:szCs w:val="28"/>
        </w:rPr>
        <w:t xml:space="preserve">можливо </w:t>
      </w:r>
      <w:r w:rsidRPr="00DF0982">
        <w:rPr>
          <w:rFonts w:ascii="Times New Roman"/>
          <w:sz w:val="28"/>
          <w:szCs w:val="28"/>
        </w:rPr>
        <w:t xml:space="preserve">тільки в фінансові інструменти, виражені в національній валюті. На відміну від цього, приватні </w:t>
      </w:r>
      <w:r w:rsidR="005A3835">
        <w:rPr>
          <w:rFonts w:ascii="Times New Roman"/>
          <w:sz w:val="28"/>
          <w:szCs w:val="28"/>
        </w:rPr>
        <w:t xml:space="preserve">компанії можуть інвестувати в </w:t>
      </w:r>
      <w:r w:rsidRPr="00DF0982">
        <w:rPr>
          <w:rFonts w:ascii="Times New Roman"/>
          <w:sz w:val="28"/>
          <w:szCs w:val="28"/>
        </w:rPr>
        <w:t xml:space="preserve"> більш широке коло фінансових інструментів. Основні інвестиційні обмеження включають в себе наступне: 35% цінних паперів, гарантованих державою або міжнародною фінансовою установою, 5% цінних паперів, випущених або гарантованих місцев</w:t>
      </w:r>
      <w:r w:rsidR="005A3835">
        <w:rPr>
          <w:rFonts w:ascii="Times New Roman"/>
          <w:sz w:val="28"/>
          <w:szCs w:val="28"/>
        </w:rPr>
        <w:t>им</w:t>
      </w:r>
      <w:r w:rsidRPr="00DF0982">
        <w:rPr>
          <w:rFonts w:ascii="Times New Roman"/>
          <w:sz w:val="28"/>
          <w:szCs w:val="28"/>
        </w:rPr>
        <w:t xml:space="preserve"> самоврядування</w:t>
      </w:r>
      <w:r w:rsidR="005A3835">
        <w:rPr>
          <w:rFonts w:ascii="Times New Roman"/>
          <w:sz w:val="28"/>
          <w:szCs w:val="28"/>
        </w:rPr>
        <w:t xml:space="preserve">м; </w:t>
      </w:r>
      <w:r w:rsidRPr="00DF0982">
        <w:rPr>
          <w:rFonts w:ascii="Times New Roman"/>
          <w:sz w:val="28"/>
          <w:szCs w:val="28"/>
        </w:rPr>
        <w:t xml:space="preserve">10% цінних паперів одного емітента, за винятком державних цінних паперів; для вкладів в одному кредитній установі (вкладення в боргові та капітальні цінні папери того ж кредитної установи і похідних фінансових інструментів, не може перевищувати 15%); і цінні папери, випущені однією комерційною компанії (або групи комерційних компаній, 20% інвестицій в </w:t>
      </w:r>
      <w:proofErr w:type="spellStart"/>
      <w:r w:rsidRPr="00DF0982">
        <w:rPr>
          <w:rFonts w:ascii="Times New Roman"/>
          <w:sz w:val="28"/>
          <w:szCs w:val="28"/>
        </w:rPr>
        <w:t>нелістингов</w:t>
      </w:r>
      <w:r w:rsidR="005A3835">
        <w:rPr>
          <w:rFonts w:ascii="Times New Roman"/>
          <w:sz w:val="28"/>
          <w:szCs w:val="28"/>
        </w:rPr>
        <w:t>і</w:t>
      </w:r>
      <w:proofErr w:type="spellEnd"/>
      <w:r w:rsidRPr="00DF0982">
        <w:rPr>
          <w:rFonts w:ascii="Times New Roman"/>
          <w:sz w:val="28"/>
          <w:szCs w:val="28"/>
        </w:rPr>
        <w:t xml:space="preserve"> цінні папери; 5% для інвестицій в єдиний фонд (10% від вартості чистих активів інвестиційного фонду).</w:t>
      </w:r>
    </w:p>
    <w:p w:rsidR="00DF0982" w:rsidRPr="00DF0982" w:rsidRDefault="005A3835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Нема максимальної</w:t>
      </w:r>
      <w:r w:rsidR="00DF0982" w:rsidRPr="00DF0982">
        <w:rPr>
          <w:rFonts w:ascii="Times New Roman"/>
          <w:sz w:val="28"/>
          <w:szCs w:val="28"/>
        </w:rPr>
        <w:t xml:space="preserve"> меж</w:t>
      </w:r>
      <w:r>
        <w:rPr>
          <w:rFonts w:ascii="Times New Roman"/>
          <w:sz w:val="28"/>
          <w:szCs w:val="28"/>
        </w:rPr>
        <w:t>і</w:t>
      </w:r>
      <w:r w:rsidR="00DF0982" w:rsidRPr="00DF0982">
        <w:rPr>
          <w:rFonts w:ascii="Times New Roman"/>
          <w:sz w:val="28"/>
          <w:szCs w:val="28"/>
        </w:rPr>
        <w:t xml:space="preserve"> для міжнародних інвестицій, до тих пір,</w:t>
      </w:r>
      <w:r>
        <w:rPr>
          <w:rFonts w:ascii="Times New Roman"/>
          <w:sz w:val="28"/>
          <w:szCs w:val="28"/>
        </w:rPr>
        <w:t xml:space="preserve"> поки</w:t>
      </w:r>
      <w:r w:rsidR="00DF0982" w:rsidRPr="00DF0982">
        <w:rPr>
          <w:rFonts w:ascii="Times New Roman"/>
          <w:sz w:val="28"/>
          <w:szCs w:val="28"/>
        </w:rPr>
        <w:t xml:space="preserve"> пенсійні фонди інвестують в </w:t>
      </w:r>
      <w:r>
        <w:rPr>
          <w:rFonts w:ascii="Times New Roman"/>
          <w:sz w:val="28"/>
          <w:szCs w:val="28"/>
        </w:rPr>
        <w:t xml:space="preserve">ті </w:t>
      </w:r>
      <w:r w:rsidR="00DF0982" w:rsidRPr="00DF0982">
        <w:rPr>
          <w:rFonts w:ascii="Times New Roman"/>
          <w:sz w:val="28"/>
          <w:szCs w:val="28"/>
        </w:rPr>
        <w:t>цінні папери</w:t>
      </w:r>
      <w:r>
        <w:rPr>
          <w:rFonts w:ascii="Times New Roman"/>
          <w:sz w:val="28"/>
          <w:szCs w:val="28"/>
        </w:rPr>
        <w:t>, які</w:t>
      </w:r>
      <w:r w:rsidR="00DF0982" w:rsidRPr="00DF0982">
        <w:rPr>
          <w:rFonts w:ascii="Times New Roman"/>
          <w:sz w:val="28"/>
          <w:szCs w:val="28"/>
        </w:rPr>
        <w:t xml:space="preserve"> котируються на </w:t>
      </w:r>
      <w:r w:rsidR="00DF0982" w:rsidRPr="00DF0982">
        <w:rPr>
          <w:rFonts w:ascii="Times New Roman"/>
          <w:sz w:val="28"/>
          <w:szCs w:val="28"/>
        </w:rPr>
        <w:lastRenderedPageBreak/>
        <w:t xml:space="preserve">фондових біржах в країнах Балтії, інших країн-членів ЄС або Європейської зони вільної торгівлі. Проте, закон передбачає 70% </w:t>
      </w:r>
      <w:r w:rsidR="00367502">
        <w:rPr>
          <w:rFonts w:ascii="Times New Roman"/>
          <w:sz w:val="28"/>
          <w:szCs w:val="28"/>
        </w:rPr>
        <w:t>інвестицій у валюті євро</w:t>
      </w:r>
      <w:r w:rsidR="00DF0982" w:rsidRPr="00DF0982">
        <w:rPr>
          <w:rFonts w:ascii="Times New Roman"/>
          <w:sz w:val="28"/>
          <w:szCs w:val="28"/>
        </w:rPr>
        <w:t>. Існує також межа 10% для кожн</w:t>
      </w:r>
      <w:r w:rsidR="00367502">
        <w:rPr>
          <w:rFonts w:ascii="Times New Roman"/>
          <w:sz w:val="28"/>
          <w:szCs w:val="28"/>
        </w:rPr>
        <w:t>ої</w:t>
      </w:r>
      <w:r w:rsidR="00DF0982" w:rsidRPr="00DF0982">
        <w:rPr>
          <w:rFonts w:ascii="Times New Roman"/>
          <w:sz w:val="28"/>
          <w:szCs w:val="28"/>
        </w:rPr>
        <w:t xml:space="preserve"> невідповідн</w:t>
      </w:r>
      <w:r w:rsidR="00367502">
        <w:rPr>
          <w:rFonts w:ascii="Times New Roman"/>
          <w:sz w:val="28"/>
          <w:szCs w:val="28"/>
        </w:rPr>
        <w:t>ої</w:t>
      </w:r>
      <w:r w:rsidR="00DF0982" w:rsidRPr="00DF0982">
        <w:rPr>
          <w:rFonts w:ascii="Times New Roman"/>
          <w:sz w:val="28"/>
          <w:szCs w:val="28"/>
        </w:rPr>
        <w:t xml:space="preserve"> валюти (з 2005 року євро був звільнений від інвестиційних обмежень щодо іноземних валют). Інвестиції в нерухомість, кредити не допускаються.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На відміну від багатьох інших країн Центральної та Східної Європи, що працюють </w:t>
      </w:r>
      <w:r w:rsidR="00367502">
        <w:rPr>
          <w:rFonts w:ascii="Times New Roman"/>
          <w:sz w:val="28"/>
          <w:szCs w:val="28"/>
        </w:rPr>
        <w:t>в умовах обов'язкової пенсійної</w:t>
      </w:r>
      <w:r w:rsidRPr="00DF0982">
        <w:rPr>
          <w:rFonts w:ascii="Times New Roman"/>
          <w:sz w:val="28"/>
          <w:szCs w:val="28"/>
        </w:rPr>
        <w:t xml:space="preserve"> системи, не існує жодних вимог для пенсійних фондів, щоб гарантувати певний мінімальний дохід. Навпаки, робити це явно заборонено.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>В цілому розподіл актив</w:t>
      </w:r>
      <w:r w:rsidR="00367502">
        <w:rPr>
          <w:rFonts w:ascii="Times New Roman"/>
          <w:sz w:val="28"/>
          <w:szCs w:val="28"/>
        </w:rPr>
        <w:t>ів в Латвії досить консервативний</w:t>
      </w:r>
      <w:r w:rsidRPr="00DF0982">
        <w:rPr>
          <w:rFonts w:ascii="Times New Roman"/>
          <w:sz w:val="28"/>
          <w:szCs w:val="28"/>
        </w:rPr>
        <w:t>, незважаючи на можливість вибору плану відповідно до власних уподобань ризику. В кінці 2006 року 55% ​​активів було вкладено в боргові цінні папери, 26% в строкові депозити, 14% в інвестиційн</w:t>
      </w:r>
      <w:r w:rsidR="00367502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 xml:space="preserve"> фонд</w:t>
      </w:r>
      <w:r w:rsidR="00367502">
        <w:rPr>
          <w:rFonts w:ascii="Times New Roman"/>
          <w:sz w:val="28"/>
          <w:szCs w:val="28"/>
        </w:rPr>
        <w:t>и</w:t>
      </w:r>
      <w:r w:rsidRPr="00DF0982">
        <w:rPr>
          <w:rFonts w:ascii="Times New Roman"/>
          <w:sz w:val="28"/>
          <w:szCs w:val="28"/>
        </w:rPr>
        <w:t xml:space="preserve"> і 5% в акції. Активні пенсійні фонди не часто використовують ліміти акцій </w:t>
      </w:r>
      <w:r w:rsidR="00367502" w:rsidRPr="00DF0982">
        <w:rPr>
          <w:rFonts w:ascii="Times New Roman"/>
          <w:sz w:val="28"/>
          <w:szCs w:val="28"/>
        </w:rPr>
        <w:t>латвійських</w:t>
      </w:r>
      <w:r w:rsidR="00367502">
        <w:rPr>
          <w:rFonts w:ascii="Times New Roman"/>
          <w:sz w:val="28"/>
          <w:szCs w:val="28"/>
        </w:rPr>
        <w:t xml:space="preserve"> підприємств у розмірі</w:t>
      </w:r>
      <w:r w:rsidR="00367502" w:rsidRPr="00DF0982">
        <w:rPr>
          <w:rFonts w:ascii="Times New Roman"/>
          <w:sz w:val="28"/>
          <w:szCs w:val="28"/>
        </w:rPr>
        <w:t xml:space="preserve"> </w:t>
      </w:r>
      <w:r w:rsidRPr="00DF0982">
        <w:rPr>
          <w:rFonts w:ascii="Times New Roman"/>
          <w:sz w:val="28"/>
          <w:szCs w:val="28"/>
        </w:rPr>
        <w:t>30% передбачених інвестиційни</w:t>
      </w:r>
      <w:r w:rsidR="00367502">
        <w:rPr>
          <w:rFonts w:ascii="Times New Roman"/>
          <w:sz w:val="28"/>
          <w:szCs w:val="28"/>
        </w:rPr>
        <w:t>ми</w:t>
      </w:r>
      <w:r w:rsidRPr="00DF0982">
        <w:rPr>
          <w:rFonts w:ascii="Times New Roman"/>
          <w:sz w:val="28"/>
          <w:szCs w:val="28"/>
        </w:rPr>
        <w:t xml:space="preserve"> правил</w:t>
      </w:r>
      <w:r w:rsidR="00367502">
        <w:rPr>
          <w:rFonts w:ascii="Times New Roman"/>
          <w:sz w:val="28"/>
          <w:szCs w:val="28"/>
        </w:rPr>
        <w:t>ами</w:t>
      </w:r>
      <w:r w:rsidRPr="00DF0982">
        <w:rPr>
          <w:rFonts w:ascii="Times New Roman"/>
          <w:sz w:val="28"/>
          <w:szCs w:val="28"/>
        </w:rPr>
        <w:t>. З 10 активних фондів на ринку, тільки один дійсно має частку власного капіталу в розмірі 30%, в той час як чотири мають вплив власного капіталу від 20% до 30%, тр</w:t>
      </w:r>
      <w:r w:rsidR="00367502">
        <w:rPr>
          <w:rFonts w:ascii="Times New Roman"/>
          <w:sz w:val="28"/>
          <w:szCs w:val="28"/>
        </w:rPr>
        <w:t xml:space="preserve">и - </w:t>
      </w:r>
      <w:r w:rsidRPr="00DF0982">
        <w:rPr>
          <w:rFonts w:ascii="Times New Roman"/>
          <w:sz w:val="28"/>
          <w:szCs w:val="28"/>
        </w:rPr>
        <w:t>від 10% до 20%, а два мають менше 10% в своєму портфелі [</w:t>
      </w:r>
      <w:r w:rsidR="00C160D6">
        <w:rPr>
          <w:rFonts w:ascii="Times New Roman"/>
          <w:sz w:val="28"/>
          <w:szCs w:val="28"/>
        </w:rPr>
        <w:t>8</w:t>
      </w:r>
      <w:r w:rsidRPr="00DF0982">
        <w:rPr>
          <w:rFonts w:ascii="Times New Roman"/>
          <w:sz w:val="28"/>
          <w:szCs w:val="28"/>
        </w:rPr>
        <w:t>].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Естонія. Пенсійний фонд керуючі компанії можуть запропонувати більш одного фонду, за умови, що </w:t>
      </w:r>
      <w:r w:rsidR="00F04390">
        <w:rPr>
          <w:rFonts w:ascii="Times New Roman"/>
          <w:sz w:val="28"/>
          <w:szCs w:val="28"/>
        </w:rPr>
        <w:t xml:space="preserve">їх </w:t>
      </w:r>
      <w:r w:rsidRPr="00DF0982">
        <w:rPr>
          <w:rFonts w:ascii="Times New Roman"/>
          <w:sz w:val="28"/>
          <w:szCs w:val="28"/>
        </w:rPr>
        <w:t xml:space="preserve">інвестиційна політика істотно </w:t>
      </w:r>
      <w:r w:rsidR="00F04390">
        <w:rPr>
          <w:rFonts w:ascii="Times New Roman"/>
          <w:sz w:val="28"/>
          <w:szCs w:val="28"/>
        </w:rPr>
        <w:t>відрізняється,</w:t>
      </w:r>
      <w:r w:rsidRPr="00DF0982">
        <w:rPr>
          <w:rFonts w:ascii="Times New Roman"/>
          <w:sz w:val="28"/>
          <w:szCs w:val="28"/>
        </w:rPr>
        <w:t xml:space="preserve"> і що </w:t>
      </w:r>
      <w:r w:rsidR="00F04390">
        <w:rPr>
          <w:rFonts w:ascii="Times New Roman"/>
          <w:sz w:val="28"/>
          <w:szCs w:val="28"/>
        </w:rPr>
        <w:t>ці кошти вкладаю</w:t>
      </w:r>
      <w:r w:rsidRPr="00DF0982">
        <w:rPr>
          <w:rFonts w:ascii="Times New Roman"/>
          <w:sz w:val="28"/>
          <w:szCs w:val="28"/>
        </w:rPr>
        <w:t xml:space="preserve">ться </w:t>
      </w:r>
      <w:r w:rsidR="00F04390" w:rsidRPr="00DF0982">
        <w:rPr>
          <w:rFonts w:ascii="Times New Roman"/>
          <w:sz w:val="28"/>
          <w:szCs w:val="28"/>
        </w:rPr>
        <w:t>тільки</w:t>
      </w:r>
      <w:r w:rsidR="00F04390" w:rsidRPr="00DF0982">
        <w:rPr>
          <w:rFonts w:ascii="Times New Roman"/>
          <w:sz w:val="28"/>
          <w:szCs w:val="28"/>
        </w:rPr>
        <w:t xml:space="preserve"> </w:t>
      </w:r>
      <w:r w:rsidRPr="00DF0982">
        <w:rPr>
          <w:rFonts w:ascii="Times New Roman"/>
          <w:sz w:val="28"/>
          <w:szCs w:val="28"/>
        </w:rPr>
        <w:t xml:space="preserve">в продукти з фіксованим доходом. Основні максимальні межі інвестицій </w:t>
      </w:r>
      <w:r w:rsidR="00B63AB1">
        <w:rPr>
          <w:rFonts w:ascii="Times New Roman"/>
          <w:sz w:val="28"/>
          <w:szCs w:val="28"/>
        </w:rPr>
        <w:t>є такими</w:t>
      </w:r>
      <w:r w:rsidRPr="00DF0982">
        <w:rPr>
          <w:rFonts w:ascii="Times New Roman"/>
          <w:sz w:val="28"/>
          <w:szCs w:val="28"/>
        </w:rPr>
        <w:t>: 40% в нерухом</w:t>
      </w:r>
      <w:r w:rsidR="00F04390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>ст</w:t>
      </w:r>
      <w:r w:rsidR="00F04390">
        <w:rPr>
          <w:rFonts w:ascii="Times New Roman"/>
          <w:sz w:val="28"/>
          <w:szCs w:val="28"/>
        </w:rPr>
        <w:t>ь</w:t>
      </w:r>
      <w:r w:rsidRPr="00DF0982">
        <w:rPr>
          <w:rFonts w:ascii="Times New Roman"/>
          <w:sz w:val="28"/>
          <w:szCs w:val="28"/>
        </w:rPr>
        <w:t xml:space="preserve"> або фонд</w:t>
      </w:r>
      <w:r w:rsidR="00F04390">
        <w:rPr>
          <w:rFonts w:ascii="Times New Roman"/>
          <w:sz w:val="28"/>
          <w:szCs w:val="28"/>
        </w:rPr>
        <w:t>и</w:t>
      </w:r>
      <w:r w:rsidRPr="00DF0982">
        <w:rPr>
          <w:rFonts w:ascii="Times New Roman"/>
          <w:sz w:val="28"/>
          <w:szCs w:val="28"/>
        </w:rPr>
        <w:t xml:space="preserve"> нерухомості; 35% </w:t>
      </w:r>
      <w:r w:rsidR="00F04390">
        <w:rPr>
          <w:rFonts w:ascii="Times New Roman"/>
          <w:sz w:val="28"/>
          <w:szCs w:val="28"/>
        </w:rPr>
        <w:t>в цінні</w:t>
      </w:r>
      <w:r w:rsidRPr="00DF0982">
        <w:rPr>
          <w:rFonts w:ascii="Times New Roman"/>
          <w:sz w:val="28"/>
          <w:szCs w:val="28"/>
        </w:rPr>
        <w:t xml:space="preserve"> паперів, випущених і гар</w:t>
      </w:r>
      <w:r w:rsidR="00B63AB1">
        <w:rPr>
          <w:rFonts w:ascii="Times New Roman"/>
          <w:sz w:val="28"/>
          <w:szCs w:val="28"/>
        </w:rPr>
        <w:t>антованих урядом Естонії, країн</w:t>
      </w:r>
      <w:r w:rsidRPr="00DF0982">
        <w:rPr>
          <w:rFonts w:ascii="Times New Roman"/>
          <w:sz w:val="28"/>
          <w:szCs w:val="28"/>
        </w:rPr>
        <w:t>-член</w:t>
      </w:r>
      <w:r w:rsidR="00B63AB1">
        <w:rPr>
          <w:rFonts w:ascii="Times New Roman"/>
          <w:sz w:val="28"/>
          <w:szCs w:val="28"/>
        </w:rPr>
        <w:t>ів Європейського Союзу або держав</w:t>
      </w:r>
      <w:r w:rsidRPr="00DF0982">
        <w:rPr>
          <w:rFonts w:ascii="Times New Roman"/>
          <w:sz w:val="28"/>
          <w:szCs w:val="28"/>
        </w:rPr>
        <w:t>, з аналогічним профілем ризику; 30% інвестиційних коштів компаній, що належать до тієї ж групи, що і компанія пенсійного управління; 10% інвестицій в основний капітал; 5% для цінних па</w:t>
      </w:r>
      <w:r w:rsidR="00B63AB1">
        <w:rPr>
          <w:rFonts w:ascii="Times New Roman"/>
          <w:sz w:val="28"/>
          <w:szCs w:val="28"/>
        </w:rPr>
        <w:t>перів, випущених тією ж групою,</w:t>
      </w:r>
      <w:r w:rsidRPr="00DF0982">
        <w:rPr>
          <w:rFonts w:ascii="Times New Roman"/>
          <w:sz w:val="28"/>
          <w:szCs w:val="28"/>
        </w:rPr>
        <w:t xml:space="preserve"> для цінних паперів, випущ</w:t>
      </w:r>
      <w:r w:rsidR="00B63AB1">
        <w:rPr>
          <w:rFonts w:ascii="Times New Roman"/>
          <w:sz w:val="28"/>
          <w:szCs w:val="28"/>
        </w:rPr>
        <w:t xml:space="preserve">ених одним </w:t>
      </w:r>
      <w:r w:rsidR="00B63AB1">
        <w:rPr>
          <w:rFonts w:ascii="Times New Roman"/>
          <w:sz w:val="28"/>
          <w:szCs w:val="28"/>
        </w:rPr>
        <w:lastRenderedPageBreak/>
        <w:t>інвестиційним фондом,</w:t>
      </w:r>
      <w:r w:rsidRPr="00DF0982">
        <w:rPr>
          <w:rFonts w:ascii="Times New Roman"/>
          <w:sz w:val="28"/>
          <w:szCs w:val="28"/>
        </w:rPr>
        <w:t xml:space="preserve"> для інвестиційних фондів керуючої компанії пенсійного і за вкладами в кредитних організаціях тієї ж групи.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Правила, що стосуються міжнародних інвестицій </w:t>
      </w:r>
      <w:r w:rsidR="00B63AB1">
        <w:rPr>
          <w:rFonts w:ascii="Times New Roman"/>
          <w:sz w:val="28"/>
          <w:szCs w:val="28"/>
        </w:rPr>
        <w:t xml:space="preserve">здебільшого є </w:t>
      </w:r>
      <w:r w:rsidRPr="00DF0982">
        <w:rPr>
          <w:rFonts w:ascii="Times New Roman"/>
          <w:sz w:val="28"/>
          <w:szCs w:val="28"/>
        </w:rPr>
        <w:t>ліберал</w:t>
      </w:r>
      <w:r w:rsidR="00B63AB1">
        <w:rPr>
          <w:rFonts w:ascii="Times New Roman"/>
          <w:sz w:val="28"/>
          <w:szCs w:val="28"/>
        </w:rPr>
        <w:t>ьними</w:t>
      </w:r>
      <w:r w:rsidRPr="00DF0982">
        <w:rPr>
          <w:rFonts w:ascii="Times New Roman"/>
          <w:sz w:val="28"/>
          <w:szCs w:val="28"/>
        </w:rPr>
        <w:t xml:space="preserve">. </w:t>
      </w:r>
      <w:r w:rsidR="00B63AB1">
        <w:rPr>
          <w:rFonts w:ascii="Times New Roman"/>
          <w:sz w:val="28"/>
          <w:szCs w:val="28"/>
        </w:rPr>
        <w:t>Н</w:t>
      </w:r>
      <w:r w:rsidRPr="00DF0982">
        <w:rPr>
          <w:rFonts w:ascii="Times New Roman"/>
          <w:sz w:val="28"/>
          <w:szCs w:val="28"/>
        </w:rPr>
        <w:t>емає ніяких обмежень на інвестиції в Європейський економічний простір, країни ОЕСР і деяк</w:t>
      </w:r>
      <w:r w:rsidR="00B63AB1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 xml:space="preserve"> інш</w:t>
      </w:r>
      <w:r w:rsidR="00B63AB1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 xml:space="preserve"> країн</w:t>
      </w:r>
      <w:r w:rsidR="00B63AB1">
        <w:rPr>
          <w:rFonts w:ascii="Times New Roman"/>
          <w:sz w:val="28"/>
          <w:szCs w:val="28"/>
        </w:rPr>
        <w:t>и</w:t>
      </w:r>
      <w:r w:rsidRPr="00DF0982">
        <w:rPr>
          <w:rFonts w:ascii="Times New Roman"/>
          <w:sz w:val="28"/>
          <w:szCs w:val="28"/>
        </w:rPr>
        <w:t>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Литва. Активи пенсійного плану повинні бути інвестовані в диверсифікований інвестиційний портфель. Це означає, що активи кожного пенсійного плану повинні бути інвестовані в портфель, що включає цінні папери, нерухомість, банківські комерційні депозити і депозитні сертифікати, видані банками. Цей портфель </w:t>
      </w:r>
      <w:r w:rsidR="00B63AB1">
        <w:rPr>
          <w:rFonts w:ascii="Times New Roman"/>
          <w:sz w:val="28"/>
          <w:szCs w:val="28"/>
        </w:rPr>
        <w:t>враховує</w:t>
      </w:r>
      <w:r w:rsidRPr="00DF0982">
        <w:rPr>
          <w:rFonts w:ascii="Times New Roman"/>
          <w:sz w:val="28"/>
          <w:szCs w:val="28"/>
        </w:rPr>
        <w:t xml:space="preserve"> наступн</w:t>
      </w:r>
      <w:r w:rsidR="00B63AB1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 xml:space="preserve"> максимальн</w:t>
      </w:r>
      <w:r w:rsidR="00B63AB1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 xml:space="preserve"> меж</w:t>
      </w:r>
      <w:r w:rsidR="00B63AB1">
        <w:rPr>
          <w:rFonts w:ascii="Times New Roman"/>
          <w:sz w:val="28"/>
          <w:szCs w:val="28"/>
        </w:rPr>
        <w:t>і</w:t>
      </w:r>
      <w:r w:rsidRPr="00DF0982">
        <w:rPr>
          <w:rFonts w:ascii="Times New Roman"/>
          <w:sz w:val="28"/>
          <w:szCs w:val="28"/>
        </w:rPr>
        <w:t>: 30% для активів одного і того ж емітента, за умови, що вони будуть випущені або гарантовані центральним або місцевим урядом, 30% боргових цінних паперів одного емітента, з державними цінними паперами; 20% для об'єктів нерухомості; 25% інвестицій в цінні папери, емітовані осіб, пов'язаних з пенсійним фондом [</w:t>
      </w:r>
      <w:r w:rsidR="00C160D6">
        <w:rPr>
          <w:rFonts w:ascii="Times New Roman"/>
          <w:sz w:val="28"/>
          <w:szCs w:val="28"/>
        </w:rPr>
        <w:t>8</w:t>
      </w:r>
      <w:r w:rsidRPr="00DF0982">
        <w:rPr>
          <w:rFonts w:ascii="Times New Roman"/>
          <w:sz w:val="28"/>
          <w:szCs w:val="28"/>
        </w:rPr>
        <w:t>].</w:t>
      </w:r>
    </w:p>
    <w:p w:rsidR="004623ED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 xml:space="preserve">Інші правила в основному </w:t>
      </w:r>
      <w:r w:rsidR="00B63AB1">
        <w:rPr>
          <w:rFonts w:ascii="Times New Roman"/>
          <w:sz w:val="28"/>
          <w:szCs w:val="28"/>
        </w:rPr>
        <w:t>є</w:t>
      </w:r>
      <w:r w:rsidRPr="00DF0982">
        <w:rPr>
          <w:rFonts w:ascii="Times New Roman"/>
          <w:sz w:val="28"/>
          <w:szCs w:val="28"/>
        </w:rPr>
        <w:t xml:space="preserve"> обмеженнями для цінних паперів одного емітента. Що стосується міжнародних інвестицій, Литва прийняла вельми ліберальну позицію. Там немає ніяких обмежень для іноземних інвестицій для пенсійних фондів, а також відсутні мінімальні норми прибутку.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>Пенсійні фонди не можуть інвестувати в такі фінансові інструменти:</w:t>
      </w:r>
    </w:p>
    <w:p w:rsidR="00DF0982" w:rsidRPr="00DF0982" w:rsidRDefault="00DF0982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DF0982">
        <w:rPr>
          <w:rFonts w:ascii="Times New Roman"/>
          <w:sz w:val="28"/>
          <w:szCs w:val="28"/>
        </w:rPr>
        <w:t>-</w:t>
      </w:r>
      <w:r w:rsidR="008B57D7">
        <w:rPr>
          <w:rFonts w:ascii="Times New Roman"/>
          <w:sz w:val="28"/>
          <w:szCs w:val="28"/>
        </w:rPr>
        <w:t xml:space="preserve"> цінні папери, випущені пенсійними фондами,</w:t>
      </w:r>
    </w:p>
    <w:p w:rsidR="00DF0982" w:rsidRPr="00DF0982" w:rsidRDefault="008B57D7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ц</w:t>
      </w:r>
      <w:r w:rsidR="00DF0982" w:rsidRPr="00DF0982">
        <w:rPr>
          <w:rFonts w:ascii="Times New Roman"/>
          <w:sz w:val="28"/>
          <w:szCs w:val="28"/>
        </w:rPr>
        <w:t xml:space="preserve">інні папери, випущені підприємством, з якими Пенсійний фонд уклав угоду </w:t>
      </w:r>
      <w:r>
        <w:rPr>
          <w:rFonts w:ascii="Times New Roman"/>
          <w:sz w:val="28"/>
          <w:szCs w:val="28"/>
        </w:rPr>
        <w:t xml:space="preserve">про </w:t>
      </w:r>
      <w:r w:rsidR="00DF0982" w:rsidRPr="00DF0982">
        <w:rPr>
          <w:rFonts w:ascii="Times New Roman"/>
          <w:sz w:val="28"/>
          <w:szCs w:val="28"/>
        </w:rPr>
        <w:t>управління активами</w:t>
      </w:r>
      <w:r>
        <w:rPr>
          <w:rFonts w:ascii="Times New Roman"/>
          <w:sz w:val="28"/>
          <w:szCs w:val="28"/>
        </w:rPr>
        <w:t>,</w:t>
      </w:r>
    </w:p>
    <w:p w:rsidR="008B57D7" w:rsidRPr="00DF0982" w:rsidRDefault="008B57D7" w:rsidP="008B57D7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ц</w:t>
      </w:r>
      <w:r w:rsidR="00DF0982" w:rsidRPr="00DF0982">
        <w:rPr>
          <w:rFonts w:ascii="Times New Roman"/>
          <w:sz w:val="28"/>
          <w:szCs w:val="28"/>
        </w:rPr>
        <w:t xml:space="preserve">інні папери, випущені підприємствами або іншими організаціями, пов'язаними з підприємства з </w:t>
      </w:r>
      <w:r>
        <w:rPr>
          <w:rFonts w:ascii="Times New Roman"/>
          <w:sz w:val="28"/>
          <w:szCs w:val="28"/>
        </w:rPr>
        <w:t>компанією по управлінню активами,</w:t>
      </w:r>
    </w:p>
    <w:p w:rsidR="00DF0982" w:rsidRPr="008B57D7" w:rsidRDefault="008B57D7" w:rsidP="00DF0982">
      <w:pPr>
        <w:spacing w:after="0" w:line="360" w:lineRule="auto"/>
        <w:ind w:firstLine="709"/>
        <w:jc w:val="both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</w:rPr>
        <w:t>- п</w:t>
      </w:r>
      <w:r w:rsidR="00DF0982" w:rsidRPr="00DF0982">
        <w:rPr>
          <w:rFonts w:ascii="Times New Roman"/>
          <w:sz w:val="28"/>
          <w:szCs w:val="28"/>
        </w:rPr>
        <w:t>охідні фінансові інструменти, за винятком документів, визнаних Комісією з цінних паперів і використовується для управління ризиками.</w:t>
      </w:r>
    </w:p>
    <w:p w:rsidR="00A209BB" w:rsidRDefault="00A209BB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Якщо говорити про країни, де пенсійні фонди вже давно стали основними інституційними інвесторами, то варто зауважити, що вони </w:t>
      </w:r>
      <w:r>
        <w:rPr>
          <w:rFonts w:ascii="Times New Roman"/>
          <w:sz w:val="28"/>
          <w:szCs w:val="28"/>
        </w:rPr>
        <w:lastRenderedPageBreak/>
        <w:t>стикаються із іншим родом проблем: необхідність законодавчого оформлення участі пенсійних фондів у інфраструктурних проектах.</w:t>
      </w:r>
    </w:p>
    <w:p w:rsidR="004623ED" w:rsidRDefault="00A209BB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Так, наприклад, б</w:t>
      </w:r>
      <w:r w:rsidR="004623ED" w:rsidRPr="004623ED">
        <w:rPr>
          <w:rFonts w:ascii="Times New Roman"/>
          <w:sz w:val="28"/>
          <w:szCs w:val="28"/>
        </w:rPr>
        <w:t xml:space="preserve">удівництво </w:t>
      </w:r>
      <w:r w:rsidR="00031CEA" w:rsidRPr="004623ED">
        <w:rPr>
          <w:rFonts w:ascii="Times New Roman"/>
          <w:sz w:val="28"/>
          <w:szCs w:val="28"/>
        </w:rPr>
        <w:t>"супер каналізації"</w:t>
      </w:r>
      <w:r w:rsidR="00031CEA">
        <w:rPr>
          <w:rFonts w:ascii="Times New Roman"/>
          <w:sz w:val="28"/>
          <w:szCs w:val="28"/>
        </w:rPr>
        <w:t xml:space="preserve"> </w:t>
      </w:r>
      <w:r w:rsidR="004623ED" w:rsidRPr="004623ED">
        <w:rPr>
          <w:rFonts w:ascii="Times New Roman"/>
          <w:sz w:val="28"/>
          <w:szCs w:val="28"/>
        </w:rPr>
        <w:t xml:space="preserve">Лондона </w:t>
      </w:r>
      <w:r>
        <w:rPr>
          <w:rFonts w:ascii="Times New Roman"/>
          <w:sz w:val="28"/>
          <w:szCs w:val="28"/>
        </w:rPr>
        <w:t xml:space="preserve">у Великій Британії </w:t>
      </w:r>
      <w:r w:rsidR="00031CEA">
        <w:rPr>
          <w:rFonts w:ascii="Times New Roman"/>
          <w:sz w:val="28"/>
          <w:szCs w:val="28"/>
        </w:rPr>
        <w:t xml:space="preserve">вимагає </w:t>
      </w:r>
      <w:r w:rsidR="004623ED" w:rsidRPr="004623ED">
        <w:rPr>
          <w:rFonts w:ascii="Times New Roman"/>
          <w:sz w:val="28"/>
          <w:szCs w:val="28"/>
        </w:rPr>
        <w:t>4,2 млрд</w:t>
      </w:r>
      <w:r w:rsidR="00031CEA">
        <w:rPr>
          <w:rFonts w:ascii="Times New Roman"/>
          <w:sz w:val="28"/>
          <w:szCs w:val="28"/>
        </w:rPr>
        <w:t>. фунтів стерлінгів</w:t>
      </w:r>
      <w:r w:rsidR="00C160D6" w:rsidRPr="00C160D6">
        <w:rPr>
          <w:rFonts w:ascii="Times New Roman"/>
          <w:sz w:val="28"/>
          <w:szCs w:val="28"/>
          <w:lang w:val="ru-RU"/>
        </w:rPr>
        <w:t xml:space="preserve"> (</w:t>
      </w:r>
      <w:r w:rsidR="00C160D6">
        <w:rPr>
          <w:rFonts w:ascii="Times New Roman"/>
          <w:sz w:val="28"/>
          <w:szCs w:val="28"/>
          <w:lang w:val="ru-RU"/>
        </w:rPr>
        <w:t>табл.2)</w:t>
      </w:r>
      <w:r>
        <w:rPr>
          <w:rFonts w:ascii="Times New Roman"/>
          <w:sz w:val="28"/>
          <w:szCs w:val="28"/>
        </w:rPr>
        <w:t>. Це</w:t>
      </w:r>
      <w:r w:rsidR="004623ED" w:rsidRPr="004623ED">
        <w:rPr>
          <w:rFonts w:ascii="Times New Roman"/>
          <w:sz w:val="28"/>
          <w:szCs w:val="28"/>
        </w:rPr>
        <w:t xml:space="preserve"> один з найбільших інфраструктурних п</w:t>
      </w:r>
      <w:r w:rsidR="00031CEA">
        <w:rPr>
          <w:rFonts w:ascii="Times New Roman"/>
          <w:sz w:val="28"/>
          <w:szCs w:val="28"/>
        </w:rPr>
        <w:t>роектів в Великобританії.</w:t>
      </w:r>
      <w:r w:rsidR="004F1CBE">
        <w:rPr>
          <w:rFonts w:ascii="Times New Roman"/>
          <w:sz w:val="28"/>
          <w:szCs w:val="28"/>
        </w:rPr>
        <w:t xml:space="preserve"> </w:t>
      </w:r>
      <w:r w:rsidR="00031CEA">
        <w:rPr>
          <w:rFonts w:ascii="Times New Roman"/>
          <w:sz w:val="28"/>
          <w:szCs w:val="28"/>
        </w:rPr>
        <w:t xml:space="preserve">Воно </w:t>
      </w:r>
      <w:r w:rsidR="004F1CBE">
        <w:rPr>
          <w:rFonts w:ascii="Times New Roman"/>
          <w:sz w:val="28"/>
          <w:szCs w:val="28"/>
        </w:rPr>
        <w:t>почало</w:t>
      </w:r>
      <w:r w:rsidR="004623ED" w:rsidRPr="004623ED">
        <w:rPr>
          <w:rFonts w:ascii="Times New Roman"/>
          <w:sz w:val="28"/>
          <w:szCs w:val="28"/>
        </w:rPr>
        <w:t xml:space="preserve">ся на початку </w:t>
      </w:r>
      <w:r>
        <w:rPr>
          <w:rFonts w:ascii="Times New Roman"/>
          <w:sz w:val="28"/>
          <w:szCs w:val="28"/>
        </w:rPr>
        <w:t>2016</w:t>
      </w:r>
      <w:r w:rsidR="004623ED" w:rsidRPr="004623ED">
        <w:rPr>
          <w:rFonts w:ascii="Times New Roman"/>
          <w:sz w:val="28"/>
          <w:szCs w:val="28"/>
        </w:rPr>
        <w:t xml:space="preserve"> року, завдяки </w:t>
      </w:r>
      <w:r w:rsidR="00031CEA">
        <w:rPr>
          <w:rFonts w:ascii="Times New Roman"/>
          <w:sz w:val="28"/>
          <w:szCs w:val="28"/>
        </w:rPr>
        <w:t xml:space="preserve"> тому, що </w:t>
      </w:r>
      <w:r w:rsidR="004623ED" w:rsidRPr="004623ED">
        <w:rPr>
          <w:rFonts w:ascii="Times New Roman"/>
          <w:sz w:val="28"/>
          <w:szCs w:val="28"/>
        </w:rPr>
        <w:t>1,7 млн</w:t>
      </w:r>
      <w:r w:rsidR="00031CEA">
        <w:rPr>
          <w:rFonts w:ascii="Times New Roman"/>
          <w:sz w:val="28"/>
          <w:szCs w:val="28"/>
        </w:rPr>
        <w:t>.</w:t>
      </w:r>
      <w:r w:rsidR="004623ED" w:rsidRPr="004623ED">
        <w:rPr>
          <w:rFonts w:ascii="Times New Roman"/>
          <w:sz w:val="28"/>
          <w:szCs w:val="28"/>
        </w:rPr>
        <w:t xml:space="preserve"> ​​людей, старанно зберіга</w:t>
      </w:r>
      <w:r>
        <w:rPr>
          <w:rFonts w:ascii="Times New Roman"/>
          <w:sz w:val="28"/>
          <w:szCs w:val="28"/>
        </w:rPr>
        <w:t>ли кошти в пенсійних фондах</w:t>
      </w:r>
      <w:r w:rsidR="00031CEA">
        <w:rPr>
          <w:rFonts w:ascii="Times New Roman"/>
          <w:sz w:val="28"/>
          <w:szCs w:val="28"/>
        </w:rPr>
        <w:t xml:space="preserve"> до</w:t>
      </w:r>
      <w:r w:rsidR="004623ED" w:rsidRPr="004623ED">
        <w:rPr>
          <w:rFonts w:ascii="Times New Roman"/>
          <w:sz w:val="28"/>
          <w:szCs w:val="28"/>
        </w:rPr>
        <w:t xml:space="preserve"> їх виходу на пенсію</w:t>
      </w:r>
      <w:r w:rsidR="00C160D6">
        <w:rPr>
          <w:rFonts w:ascii="Times New Roman"/>
          <w:sz w:val="28"/>
          <w:szCs w:val="28"/>
        </w:rPr>
        <w:t xml:space="preserve"> </w:t>
      </w:r>
      <w:r w:rsidR="00C160D6">
        <w:rPr>
          <w:rFonts w:ascii="Times New Roman"/>
          <w:sz w:val="28"/>
          <w:szCs w:val="28"/>
          <w:lang w:val="en-US"/>
        </w:rPr>
        <w:t>[9]</w:t>
      </w:r>
      <w:r w:rsidR="004623ED" w:rsidRPr="004623ED">
        <w:rPr>
          <w:rFonts w:ascii="Times New Roman"/>
          <w:sz w:val="28"/>
          <w:szCs w:val="28"/>
        </w:rPr>
        <w:t>.</w:t>
      </w:r>
    </w:p>
    <w:p w:rsidR="00C160D6" w:rsidRDefault="00C160D6" w:rsidP="00C160D6">
      <w:pPr>
        <w:spacing w:after="0" w:line="360" w:lineRule="auto"/>
        <w:ind w:firstLine="709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Таблиця 2</w:t>
      </w:r>
    </w:p>
    <w:p w:rsidR="00C160D6" w:rsidRPr="00DD620D" w:rsidRDefault="00C160D6" w:rsidP="00C160D6">
      <w:pPr>
        <w:spacing w:after="0" w:line="360" w:lineRule="auto"/>
        <w:ind w:firstLine="709"/>
        <w:jc w:val="center"/>
        <w:rPr>
          <w:rFonts w:ascii="Times New Roman"/>
          <w:i/>
          <w:sz w:val="28"/>
          <w:szCs w:val="28"/>
        </w:rPr>
      </w:pPr>
      <w:r w:rsidRPr="00DD620D">
        <w:rPr>
          <w:rFonts w:ascii="Times New Roman"/>
          <w:i/>
          <w:sz w:val="28"/>
          <w:szCs w:val="28"/>
        </w:rPr>
        <w:t>Приклади інвестування недержавних пенсійних фондів на умовах</w:t>
      </w:r>
      <w:r>
        <w:rPr>
          <w:rFonts w:ascii="Times New Roman"/>
          <w:i/>
          <w:sz w:val="28"/>
          <w:szCs w:val="28"/>
        </w:rPr>
        <w:t xml:space="preserve"> публічно-приватного партнерства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60D6" w:rsidTr="00E9205A">
        <w:tc>
          <w:tcPr>
            <w:tcW w:w="4508" w:type="dxa"/>
          </w:tcPr>
          <w:p w:rsidR="00C160D6" w:rsidRPr="00DD620D" w:rsidRDefault="00C160D6" w:rsidP="00E9205A">
            <w:pPr>
              <w:spacing w:line="360" w:lineRule="auto"/>
              <w:jc w:val="both"/>
              <w:rPr>
                <w:rFonts w:ascii="Times New Roman"/>
                <w:i/>
                <w:sz w:val="28"/>
                <w:szCs w:val="28"/>
              </w:rPr>
            </w:pPr>
            <w:r w:rsidRPr="00DD620D">
              <w:rPr>
                <w:rFonts w:ascii="Times New Roman"/>
                <w:i/>
                <w:sz w:val="28"/>
                <w:szCs w:val="28"/>
              </w:rPr>
              <w:t>Пул пенсійних фондів</w:t>
            </w:r>
          </w:p>
        </w:tc>
        <w:tc>
          <w:tcPr>
            <w:tcW w:w="4508" w:type="dxa"/>
          </w:tcPr>
          <w:p w:rsidR="00C160D6" w:rsidRPr="00DD620D" w:rsidRDefault="00C160D6" w:rsidP="00E9205A">
            <w:pPr>
              <w:spacing w:line="360" w:lineRule="auto"/>
              <w:jc w:val="both"/>
              <w:rPr>
                <w:rFonts w:ascii="Times New Roman"/>
                <w:i/>
                <w:sz w:val="28"/>
                <w:szCs w:val="28"/>
              </w:rPr>
            </w:pPr>
            <w:r w:rsidRPr="00DD620D">
              <w:rPr>
                <w:rFonts w:ascii="Times New Roman"/>
                <w:i/>
                <w:sz w:val="28"/>
                <w:szCs w:val="28"/>
              </w:rPr>
              <w:t>Об’єкт інвестування в рамках публічно-приватного партнерства</w:t>
            </w:r>
          </w:p>
        </w:tc>
      </w:tr>
      <w:tr w:rsidR="00C160D6" w:rsidTr="00E9205A">
        <w:tc>
          <w:tcPr>
            <w:tcW w:w="4508" w:type="dxa"/>
          </w:tcPr>
          <w:p w:rsidR="00C160D6" w:rsidRDefault="00C160D6" w:rsidP="00E9205A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F33158">
              <w:rPr>
                <w:rFonts w:ascii="Times New Roman"/>
                <w:sz w:val="28"/>
                <w:szCs w:val="28"/>
              </w:rPr>
              <w:t>Allianz</w:t>
            </w:r>
            <w:proofErr w:type="spellEnd"/>
            <w:r w:rsidRPr="00F33158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F33158">
              <w:rPr>
                <w:rFonts w:ascii="Times New Roman"/>
                <w:sz w:val="28"/>
                <w:szCs w:val="28"/>
              </w:rPr>
              <w:t>Global</w:t>
            </w:r>
            <w:proofErr w:type="spellEnd"/>
            <w:r w:rsidRPr="00F33158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F33158">
              <w:rPr>
                <w:rFonts w:ascii="Times New Roman"/>
                <w:sz w:val="28"/>
                <w:szCs w:val="28"/>
              </w:rPr>
              <w:t>Investors</w:t>
            </w:r>
            <w:proofErr w:type="spellEnd"/>
          </w:p>
        </w:tc>
        <w:tc>
          <w:tcPr>
            <w:tcW w:w="4508" w:type="dxa"/>
          </w:tcPr>
          <w:p w:rsidR="00C160D6" w:rsidRDefault="00C160D6" w:rsidP="00E9205A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r w:rsidRPr="00F33158">
              <w:rPr>
                <w:rFonts w:ascii="Times New Roman"/>
                <w:sz w:val="28"/>
                <w:szCs w:val="28"/>
              </w:rPr>
              <w:t xml:space="preserve">будівництво університетського </w:t>
            </w:r>
            <w:r>
              <w:rPr>
                <w:rFonts w:ascii="Times New Roman"/>
                <w:sz w:val="28"/>
                <w:szCs w:val="28"/>
              </w:rPr>
              <w:t>при</w:t>
            </w:r>
            <w:r w:rsidRPr="00F33158">
              <w:rPr>
                <w:rFonts w:ascii="Times New Roman"/>
                <w:sz w:val="28"/>
                <w:szCs w:val="28"/>
              </w:rPr>
              <w:t xml:space="preserve">міщення в </w:t>
            </w:r>
            <w:proofErr w:type="spellStart"/>
            <w:r w:rsidRPr="00F33158">
              <w:rPr>
                <w:rFonts w:ascii="Times New Roman"/>
                <w:sz w:val="28"/>
                <w:szCs w:val="28"/>
              </w:rPr>
              <w:t>Ексетері</w:t>
            </w:r>
            <w:proofErr w:type="spellEnd"/>
            <w:r w:rsidRPr="00F33158">
              <w:rPr>
                <w:rFonts w:ascii="Times New Roman"/>
                <w:sz w:val="28"/>
                <w:szCs w:val="28"/>
              </w:rPr>
              <w:t xml:space="preserve"> і розростання </w:t>
            </w:r>
            <w:r>
              <w:rPr>
                <w:rFonts w:ascii="Times New Roman"/>
                <w:sz w:val="28"/>
                <w:szCs w:val="28"/>
              </w:rPr>
              <w:t>автотраси,</w:t>
            </w:r>
            <w:r w:rsidRPr="00F33158"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 xml:space="preserve">яка пов'язує Глазго і </w:t>
            </w:r>
            <w:proofErr w:type="spellStart"/>
            <w:r>
              <w:rPr>
                <w:rFonts w:ascii="Times New Roman"/>
                <w:sz w:val="28"/>
                <w:szCs w:val="28"/>
              </w:rPr>
              <w:t>Едінбургу</w:t>
            </w:r>
            <w:proofErr w:type="spellEnd"/>
            <w:r w:rsidRPr="00F33158"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C160D6" w:rsidTr="00E9205A">
        <w:tc>
          <w:tcPr>
            <w:tcW w:w="4508" w:type="dxa"/>
          </w:tcPr>
          <w:p w:rsidR="00C160D6" w:rsidRDefault="00C160D6" w:rsidP="00E9205A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6E3A75">
              <w:rPr>
                <w:rFonts w:ascii="Times New Roman"/>
                <w:sz w:val="28"/>
                <w:szCs w:val="28"/>
              </w:rPr>
              <w:t>Willis</w:t>
            </w:r>
            <w:proofErr w:type="spellEnd"/>
            <w:r w:rsidRPr="006E3A75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E3A75">
              <w:rPr>
                <w:rFonts w:ascii="Times New Roman"/>
                <w:sz w:val="28"/>
                <w:szCs w:val="28"/>
              </w:rPr>
              <w:t>Towers</w:t>
            </w:r>
            <w:proofErr w:type="spellEnd"/>
            <w:r w:rsidRPr="006E3A75">
              <w:rPr>
                <w:rFonts w:ascii="Times New Roman"/>
                <w:sz w:val="28"/>
                <w:szCs w:val="28"/>
              </w:rPr>
              <w:t xml:space="preserve"> </w:t>
            </w:r>
            <w:proofErr w:type="spellStart"/>
            <w:r w:rsidRPr="006E3A75">
              <w:rPr>
                <w:rFonts w:ascii="Times New Roman"/>
                <w:sz w:val="28"/>
                <w:szCs w:val="28"/>
              </w:rPr>
              <w:t>Watson</w:t>
            </w:r>
            <w:proofErr w:type="spellEnd"/>
          </w:p>
        </w:tc>
        <w:tc>
          <w:tcPr>
            <w:tcW w:w="4508" w:type="dxa"/>
          </w:tcPr>
          <w:p w:rsidR="00C160D6" w:rsidRDefault="00C160D6" w:rsidP="00E9205A">
            <w:pPr>
              <w:spacing w:line="360" w:lineRule="auto"/>
              <w:jc w:val="both"/>
              <w:rPr>
                <w:rFonts w:ascii="Times New Roman"/>
                <w:sz w:val="28"/>
                <w:szCs w:val="28"/>
              </w:rPr>
            </w:pPr>
            <w:proofErr w:type="spellStart"/>
            <w:r w:rsidRPr="004623ED">
              <w:rPr>
                <w:rFonts w:ascii="Times New Roman"/>
                <w:sz w:val="28"/>
                <w:szCs w:val="28"/>
              </w:rPr>
              <w:t>Хінклі</w:t>
            </w:r>
            <w:proofErr w:type="spellEnd"/>
            <w:r w:rsidRPr="004623ED">
              <w:rPr>
                <w:rFonts w:ascii="Times New Roman"/>
                <w:sz w:val="28"/>
                <w:szCs w:val="28"/>
              </w:rPr>
              <w:t>-Пойнт, АЕС</w:t>
            </w:r>
          </w:p>
        </w:tc>
      </w:tr>
    </w:tbl>
    <w:p w:rsidR="00C160D6" w:rsidRPr="004623ED" w:rsidRDefault="00C160D6" w:rsidP="00C160D6">
      <w:pPr>
        <w:spacing w:after="0" w:line="360" w:lineRule="auto"/>
        <w:jc w:val="both"/>
        <w:rPr>
          <w:rFonts w:ascii="Times New Roman"/>
          <w:sz w:val="28"/>
          <w:szCs w:val="28"/>
        </w:rPr>
      </w:pPr>
    </w:p>
    <w:p w:rsidR="004623ED" w:rsidRPr="004623ED" w:rsidRDefault="004F1CBE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Будівництво </w:t>
      </w:r>
      <w:proofErr w:type="spellStart"/>
      <w:r w:rsidR="004623ED" w:rsidRPr="004623ED">
        <w:rPr>
          <w:rFonts w:ascii="Times New Roman"/>
          <w:sz w:val="28"/>
          <w:szCs w:val="28"/>
        </w:rPr>
        <w:t>Thames</w:t>
      </w:r>
      <w:proofErr w:type="spellEnd"/>
      <w:r w:rsidR="004623ED" w:rsidRPr="004623ED">
        <w:rPr>
          <w:rFonts w:ascii="Times New Roman"/>
          <w:sz w:val="28"/>
          <w:szCs w:val="28"/>
        </w:rPr>
        <w:t xml:space="preserve"> </w:t>
      </w:r>
      <w:proofErr w:type="spellStart"/>
      <w:r w:rsidR="004623ED" w:rsidRPr="004623ED">
        <w:rPr>
          <w:rFonts w:ascii="Times New Roman"/>
          <w:sz w:val="28"/>
          <w:szCs w:val="28"/>
        </w:rPr>
        <w:t>Tideway</w:t>
      </w:r>
      <w:proofErr w:type="spellEnd"/>
      <w:r w:rsidR="004623ED" w:rsidRPr="004623ED">
        <w:rPr>
          <w:rFonts w:ascii="Times New Roman"/>
          <w:sz w:val="28"/>
          <w:szCs w:val="28"/>
        </w:rPr>
        <w:t xml:space="preserve"> </w:t>
      </w:r>
      <w:proofErr w:type="spellStart"/>
      <w:r w:rsidR="004623ED" w:rsidRPr="004623ED">
        <w:rPr>
          <w:rFonts w:ascii="Times New Roman"/>
          <w:sz w:val="28"/>
          <w:szCs w:val="28"/>
        </w:rPr>
        <w:t>тунел</w:t>
      </w:r>
      <w:r w:rsidR="00031CEA">
        <w:rPr>
          <w:rFonts w:ascii="Times New Roman"/>
          <w:sz w:val="28"/>
          <w:szCs w:val="28"/>
        </w:rPr>
        <w:t>я</w:t>
      </w:r>
      <w:proofErr w:type="spellEnd"/>
      <w:r w:rsidR="004623ED" w:rsidRPr="004623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здійснюється</w:t>
      </w:r>
      <w:r w:rsidR="004623ED" w:rsidRPr="004623ED">
        <w:rPr>
          <w:rFonts w:ascii="Times New Roman"/>
          <w:sz w:val="28"/>
          <w:szCs w:val="28"/>
        </w:rPr>
        <w:t xml:space="preserve"> за підтримки декількох пенсійних фондів Великобританії. Схеми</w:t>
      </w:r>
      <w:r>
        <w:rPr>
          <w:rFonts w:ascii="Times New Roman"/>
          <w:sz w:val="28"/>
          <w:szCs w:val="28"/>
        </w:rPr>
        <w:t xml:space="preserve"> передбачають вкладення</w:t>
      </w:r>
      <w:r w:rsidR="004623ED" w:rsidRPr="004623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заощадження своїх членів з метою фінансування найбільшого капітальн</w:t>
      </w:r>
      <w:r w:rsidR="00A209BB">
        <w:rPr>
          <w:rFonts w:ascii="Times New Roman"/>
          <w:sz w:val="28"/>
          <w:szCs w:val="28"/>
        </w:rPr>
        <w:t>ого</w:t>
      </w:r>
      <w:r>
        <w:rPr>
          <w:rFonts w:ascii="Times New Roman"/>
          <w:sz w:val="28"/>
          <w:szCs w:val="28"/>
        </w:rPr>
        <w:t xml:space="preserve"> ремонт</w:t>
      </w:r>
      <w:r w:rsidR="00A209BB">
        <w:rPr>
          <w:rFonts w:ascii="Times New Roman"/>
          <w:sz w:val="28"/>
          <w:szCs w:val="28"/>
        </w:rPr>
        <w:t>у</w:t>
      </w:r>
      <w:r>
        <w:rPr>
          <w:rFonts w:ascii="Times New Roman"/>
          <w:sz w:val="28"/>
          <w:szCs w:val="28"/>
        </w:rPr>
        <w:t xml:space="preserve"> системи </w:t>
      </w:r>
      <w:r w:rsidR="004623ED" w:rsidRPr="004623ED">
        <w:rPr>
          <w:rFonts w:ascii="Times New Roman"/>
          <w:sz w:val="28"/>
          <w:szCs w:val="28"/>
        </w:rPr>
        <w:t>водопров</w:t>
      </w:r>
      <w:r>
        <w:rPr>
          <w:rFonts w:ascii="Times New Roman"/>
          <w:sz w:val="28"/>
          <w:szCs w:val="28"/>
        </w:rPr>
        <w:t>оду</w:t>
      </w:r>
      <w:r w:rsidR="004623ED" w:rsidRPr="004623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Лондона, яка була створена за часів</w:t>
      </w:r>
      <w:r w:rsidR="004623ED" w:rsidRPr="004623ED">
        <w:rPr>
          <w:rFonts w:ascii="Times New Roman"/>
          <w:sz w:val="28"/>
          <w:szCs w:val="28"/>
        </w:rPr>
        <w:t xml:space="preserve"> вікторіанської епохи.</w:t>
      </w:r>
    </w:p>
    <w:p w:rsidR="004623ED" w:rsidRPr="004623ED" w:rsidRDefault="004623ED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4623ED">
        <w:rPr>
          <w:rFonts w:ascii="Times New Roman"/>
          <w:sz w:val="28"/>
          <w:szCs w:val="28"/>
        </w:rPr>
        <w:t>В даний час уряд Великобританії планує провести серію "радикальних реформ" для заохочення пенсійн</w:t>
      </w:r>
      <w:r w:rsidR="004F1CBE">
        <w:rPr>
          <w:rFonts w:ascii="Times New Roman"/>
          <w:sz w:val="28"/>
          <w:szCs w:val="28"/>
        </w:rPr>
        <w:t>их</w:t>
      </w:r>
      <w:r w:rsidRPr="004623ED">
        <w:rPr>
          <w:rFonts w:ascii="Times New Roman"/>
          <w:sz w:val="28"/>
          <w:szCs w:val="28"/>
        </w:rPr>
        <w:t xml:space="preserve"> фонд</w:t>
      </w:r>
      <w:r w:rsidR="004F1CBE">
        <w:rPr>
          <w:rFonts w:ascii="Times New Roman"/>
          <w:sz w:val="28"/>
          <w:szCs w:val="28"/>
        </w:rPr>
        <w:t>ів</w:t>
      </w:r>
      <w:r w:rsidRPr="004623ED">
        <w:rPr>
          <w:rFonts w:ascii="Times New Roman"/>
          <w:sz w:val="28"/>
          <w:szCs w:val="28"/>
        </w:rPr>
        <w:t xml:space="preserve"> інвестувати в подібн</w:t>
      </w:r>
      <w:r w:rsidR="004F1CBE">
        <w:rPr>
          <w:rFonts w:ascii="Times New Roman"/>
          <w:sz w:val="28"/>
          <w:szCs w:val="28"/>
        </w:rPr>
        <w:t>і</w:t>
      </w:r>
      <w:r w:rsidRPr="004623ED">
        <w:rPr>
          <w:rFonts w:ascii="Times New Roman"/>
          <w:sz w:val="28"/>
          <w:szCs w:val="28"/>
        </w:rPr>
        <w:t xml:space="preserve"> інфраструктурн</w:t>
      </w:r>
      <w:r w:rsidR="004F1CBE">
        <w:rPr>
          <w:rFonts w:ascii="Times New Roman"/>
          <w:sz w:val="28"/>
          <w:szCs w:val="28"/>
        </w:rPr>
        <w:t>і</w:t>
      </w:r>
      <w:r w:rsidRPr="004623ED">
        <w:rPr>
          <w:rFonts w:ascii="Times New Roman"/>
          <w:sz w:val="28"/>
          <w:szCs w:val="28"/>
        </w:rPr>
        <w:t xml:space="preserve"> проект</w:t>
      </w:r>
      <w:r w:rsidR="004F1CBE">
        <w:rPr>
          <w:rFonts w:ascii="Times New Roman"/>
          <w:sz w:val="28"/>
          <w:szCs w:val="28"/>
        </w:rPr>
        <w:t>и</w:t>
      </w:r>
      <w:r w:rsidRPr="004623ED">
        <w:rPr>
          <w:rFonts w:ascii="Times New Roman"/>
          <w:sz w:val="28"/>
          <w:szCs w:val="28"/>
        </w:rPr>
        <w:t xml:space="preserve">. </w:t>
      </w:r>
      <w:r w:rsidR="004F1CBE">
        <w:rPr>
          <w:rFonts w:ascii="Times New Roman"/>
          <w:sz w:val="28"/>
          <w:szCs w:val="28"/>
        </w:rPr>
        <w:t>Їх ідея полягатиме</w:t>
      </w:r>
      <w:r w:rsidRPr="004623ED">
        <w:rPr>
          <w:rFonts w:ascii="Times New Roman"/>
          <w:sz w:val="28"/>
          <w:szCs w:val="28"/>
        </w:rPr>
        <w:t xml:space="preserve"> в тому, що</w:t>
      </w:r>
      <w:r w:rsidR="004F1CBE">
        <w:rPr>
          <w:rFonts w:ascii="Times New Roman"/>
          <w:sz w:val="28"/>
          <w:szCs w:val="28"/>
        </w:rPr>
        <w:t xml:space="preserve">б вдосконалити механізм вкладання коштів в інфраструктуру. Проведення цих реформ також є необхідним </w:t>
      </w:r>
      <w:r w:rsidRPr="004623ED">
        <w:rPr>
          <w:rFonts w:ascii="Times New Roman"/>
          <w:sz w:val="28"/>
          <w:szCs w:val="28"/>
        </w:rPr>
        <w:t xml:space="preserve">і </w:t>
      </w:r>
      <w:r w:rsidR="004F1CBE">
        <w:rPr>
          <w:rFonts w:ascii="Times New Roman"/>
          <w:sz w:val="28"/>
          <w:szCs w:val="28"/>
        </w:rPr>
        <w:t>для пенсійних фондів</w:t>
      </w:r>
      <w:r w:rsidRPr="004623ED">
        <w:rPr>
          <w:rFonts w:ascii="Times New Roman"/>
          <w:sz w:val="28"/>
          <w:szCs w:val="28"/>
        </w:rPr>
        <w:t xml:space="preserve">, які </w:t>
      </w:r>
      <w:r w:rsidR="004F1CBE">
        <w:rPr>
          <w:rFonts w:ascii="Times New Roman"/>
          <w:sz w:val="28"/>
          <w:szCs w:val="28"/>
        </w:rPr>
        <w:t>функціонують</w:t>
      </w:r>
      <w:r w:rsidRPr="004623ED">
        <w:rPr>
          <w:rFonts w:ascii="Times New Roman"/>
          <w:sz w:val="28"/>
          <w:szCs w:val="28"/>
        </w:rPr>
        <w:t xml:space="preserve"> в сере</w:t>
      </w:r>
      <w:r w:rsidR="004F1CBE">
        <w:rPr>
          <w:rFonts w:ascii="Times New Roman"/>
          <w:sz w:val="28"/>
          <w:szCs w:val="28"/>
        </w:rPr>
        <w:t>довищі з низьким рівнем доходу.</w:t>
      </w:r>
    </w:p>
    <w:p w:rsidR="004623ED" w:rsidRPr="004623ED" w:rsidRDefault="004F1CBE" w:rsidP="004F1CBE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Одним із ключових питань реформи </w:t>
      </w:r>
      <w:r w:rsidR="00031CEA">
        <w:rPr>
          <w:rFonts w:ascii="Times New Roman"/>
          <w:sz w:val="28"/>
          <w:szCs w:val="28"/>
        </w:rPr>
        <w:t>має стати</w:t>
      </w:r>
      <w:r>
        <w:rPr>
          <w:rFonts w:ascii="Times New Roman"/>
          <w:sz w:val="28"/>
          <w:szCs w:val="28"/>
        </w:rPr>
        <w:t xml:space="preserve"> дозвіл на об'єднання активів пенсійних фондів з метою інвестування</w:t>
      </w:r>
      <w:r w:rsidR="004623ED" w:rsidRPr="004623ED">
        <w:rPr>
          <w:rFonts w:ascii="Times New Roman"/>
          <w:sz w:val="28"/>
          <w:szCs w:val="28"/>
        </w:rPr>
        <w:t xml:space="preserve"> у великі інфраструктурні проекти.</w:t>
      </w:r>
    </w:p>
    <w:p w:rsidR="004623ED" w:rsidRPr="004623ED" w:rsidRDefault="004623ED" w:rsidP="00057EE5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4623ED">
        <w:rPr>
          <w:rFonts w:ascii="Times New Roman"/>
          <w:sz w:val="28"/>
          <w:szCs w:val="28"/>
        </w:rPr>
        <w:t>Після фінансової кризи, країни</w:t>
      </w:r>
      <w:r w:rsidR="00A209BB">
        <w:rPr>
          <w:rFonts w:ascii="Times New Roman"/>
          <w:sz w:val="28"/>
          <w:szCs w:val="28"/>
        </w:rPr>
        <w:t xml:space="preserve">, що розвиваються, </w:t>
      </w:r>
      <w:r w:rsidRPr="004623ED">
        <w:rPr>
          <w:rFonts w:ascii="Times New Roman"/>
          <w:sz w:val="28"/>
          <w:szCs w:val="28"/>
        </w:rPr>
        <w:t xml:space="preserve">намагаються інвестувати в енергетику, водопостачання, транспорт і соціальні проекти, які мають </w:t>
      </w:r>
      <w:proofErr w:type="spellStart"/>
      <w:r w:rsidRPr="004623ED">
        <w:rPr>
          <w:rFonts w:ascii="Times New Roman"/>
          <w:sz w:val="28"/>
          <w:szCs w:val="28"/>
        </w:rPr>
        <w:t>життєво</w:t>
      </w:r>
      <w:proofErr w:type="spellEnd"/>
      <w:r w:rsidRPr="004623ED">
        <w:rPr>
          <w:rFonts w:ascii="Times New Roman"/>
          <w:sz w:val="28"/>
          <w:szCs w:val="28"/>
        </w:rPr>
        <w:t xml:space="preserve"> важливе значення для економічного зростання. </w:t>
      </w:r>
      <w:r w:rsidR="004F1CBE">
        <w:rPr>
          <w:rFonts w:ascii="Times New Roman"/>
          <w:sz w:val="28"/>
          <w:szCs w:val="28"/>
        </w:rPr>
        <w:t xml:space="preserve"> За оцінками консалтингової компанії</w:t>
      </w:r>
      <w:r w:rsidR="004F1CBE" w:rsidRPr="004623ED">
        <w:rPr>
          <w:rFonts w:ascii="Times New Roman"/>
          <w:sz w:val="28"/>
          <w:szCs w:val="28"/>
        </w:rPr>
        <w:t xml:space="preserve"> </w:t>
      </w:r>
      <w:proofErr w:type="spellStart"/>
      <w:r w:rsidR="004F1CBE">
        <w:rPr>
          <w:rFonts w:ascii="Times New Roman"/>
          <w:sz w:val="28"/>
          <w:szCs w:val="28"/>
        </w:rPr>
        <w:t>McKinsey</w:t>
      </w:r>
      <w:proofErr w:type="spellEnd"/>
      <w:r w:rsidR="004F1CBE">
        <w:rPr>
          <w:rFonts w:ascii="Times New Roman"/>
          <w:sz w:val="28"/>
          <w:szCs w:val="28"/>
        </w:rPr>
        <w:t>,</w:t>
      </w:r>
      <w:r w:rsidRPr="004623ED">
        <w:rPr>
          <w:rFonts w:ascii="Times New Roman"/>
          <w:sz w:val="28"/>
          <w:szCs w:val="28"/>
        </w:rPr>
        <w:t xml:space="preserve"> 57</w:t>
      </w:r>
      <w:r w:rsidR="00A209BB">
        <w:rPr>
          <w:rFonts w:ascii="Times New Roman"/>
          <w:sz w:val="28"/>
          <w:szCs w:val="28"/>
        </w:rPr>
        <w:t xml:space="preserve"> </w:t>
      </w:r>
      <w:proofErr w:type="spellStart"/>
      <w:r w:rsidR="004F1CBE">
        <w:rPr>
          <w:rFonts w:ascii="Times New Roman"/>
          <w:sz w:val="28"/>
          <w:szCs w:val="28"/>
        </w:rPr>
        <w:t>трильонів</w:t>
      </w:r>
      <w:proofErr w:type="spellEnd"/>
      <w:r w:rsidR="004F1CBE">
        <w:rPr>
          <w:rFonts w:ascii="Times New Roman"/>
          <w:sz w:val="28"/>
          <w:szCs w:val="28"/>
        </w:rPr>
        <w:t xml:space="preserve"> </w:t>
      </w:r>
      <w:proofErr w:type="spellStart"/>
      <w:r w:rsidR="004F1CBE">
        <w:rPr>
          <w:rFonts w:ascii="Times New Roman"/>
          <w:sz w:val="28"/>
          <w:szCs w:val="28"/>
        </w:rPr>
        <w:t>дол</w:t>
      </w:r>
      <w:proofErr w:type="spellEnd"/>
      <w:r w:rsidR="004F1CBE">
        <w:rPr>
          <w:rFonts w:ascii="Times New Roman"/>
          <w:sz w:val="28"/>
          <w:szCs w:val="28"/>
        </w:rPr>
        <w:t>.</w:t>
      </w:r>
      <w:r w:rsidR="00031CEA">
        <w:rPr>
          <w:rFonts w:ascii="Times New Roman"/>
          <w:sz w:val="28"/>
          <w:szCs w:val="28"/>
        </w:rPr>
        <w:t xml:space="preserve"> </w:t>
      </w:r>
      <w:r w:rsidR="004F1CBE">
        <w:rPr>
          <w:rFonts w:ascii="Times New Roman"/>
          <w:sz w:val="28"/>
          <w:szCs w:val="28"/>
        </w:rPr>
        <w:t xml:space="preserve">США </w:t>
      </w:r>
      <w:r w:rsidRPr="004623ED">
        <w:rPr>
          <w:rFonts w:ascii="Times New Roman"/>
          <w:sz w:val="28"/>
          <w:szCs w:val="28"/>
        </w:rPr>
        <w:t xml:space="preserve"> необхідно </w:t>
      </w:r>
      <w:r w:rsidR="004F1CBE">
        <w:rPr>
          <w:rFonts w:ascii="Times New Roman"/>
          <w:sz w:val="28"/>
          <w:szCs w:val="28"/>
        </w:rPr>
        <w:t xml:space="preserve">інвестувати </w:t>
      </w:r>
      <w:r w:rsidR="004F1CBE" w:rsidRPr="004623ED">
        <w:rPr>
          <w:rFonts w:ascii="Times New Roman"/>
          <w:sz w:val="28"/>
          <w:szCs w:val="28"/>
        </w:rPr>
        <w:t>для фінансу</w:t>
      </w:r>
      <w:r w:rsidR="004F1CBE">
        <w:rPr>
          <w:rFonts w:ascii="Times New Roman"/>
          <w:sz w:val="28"/>
          <w:szCs w:val="28"/>
        </w:rPr>
        <w:t xml:space="preserve">вання інфраструктурних проектів </w:t>
      </w:r>
      <w:r w:rsidRPr="004623ED">
        <w:rPr>
          <w:rFonts w:ascii="Times New Roman"/>
          <w:sz w:val="28"/>
          <w:szCs w:val="28"/>
        </w:rPr>
        <w:t>на</w:t>
      </w:r>
      <w:r w:rsidR="004F1CBE">
        <w:rPr>
          <w:rFonts w:ascii="Times New Roman"/>
          <w:sz w:val="28"/>
          <w:szCs w:val="28"/>
        </w:rPr>
        <w:t xml:space="preserve"> глобальному рівні до 2030 року. </w:t>
      </w:r>
      <w:r w:rsidRPr="004623ED">
        <w:rPr>
          <w:rFonts w:ascii="Times New Roman"/>
          <w:sz w:val="28"/>
          <w:szCs w:val="28"/>
        </w:rPr>
        <w:t xml:space="preserve">Але британські пенсійні фонди зневажливо </w:t>
      </w:r>
      <w:r w:rsidR="004F1CBE">
        <w:rPr>
          <w:rFonts w:ascii="Times New Roman"/>
          <w:sz w:val="28"/>
          <w:szCs w:val="28"/>
        </w:rPr>
        <w:t>ставляться до</w:t>
      </w:r>
      <w:r w:rsidRPr="004623ED">
        <w:rPr>
          <w:rFonts w:ascii="Times New Roman"/>
          <w:sz w:val="28"/>
          <w:szCs w:val="28"/>
        </w:rPr>
        <w:t xml:space="preserve"> </w:t>
      </w:r>
      <w:r w:rsidR="00057EE5">
        <w:rPr>
          <w:rFonts w:ascii="Times New Roman"/>
          <w:sz w:val="28"/>
          <w:szCs w:val="28"/>
        </w:rPr>
        <w:t>таких змін</w:t>
      </w:r>
      <w:r w:rsidRPr="004623ED">
        <w:rPr>
          <w:rFonts w:ascii="Times New Roman"/>
          <w:sz w:val="28"/>
          <w:szCs w:val="28"/>
        </w:rPr>
        <w:t xml:space="preserve"> і</w:t>
      </w:r>
      <w:r w:rsidR="00057EE5">
        <w:rPr>
          <w:rFonts w:ascii="Times New Roman"/>
          <w:sz w:val="28"/>
          <w:szCs w:val="28"/>
        </w:rPr>
        <w:t xml:space="preserve"> вважають, що потрібно</w:t>
      </w:r>
      <w:r w:rsidRPr="004623ED">
        <w:rPr>
          <w:rFonts w:ascii="Times New Roman"/>
          <w:sz w:val="28"/>
          <w:szCs w:val="28"/>
        </w:rPr>
        <w:t xml:space="preserve"> більше проектів для інвестицій, </w:t>
      </w:r>
      <w:r w:rsidR="00057EE5">
        <w:rPr>
          <w:rFonts w:ascii="Times New Roman"/>
          <w:sz w:val="28"/>
          <w:szCs w:val="28"/>
        </w:rPr>
        <w:t>а не</w:t>
      </w:r>
      <w:r w:rsidRPr="004623ED">
        <w:rPr>
          <w:rFonts w:ascii="Times New Roman"/>
          <w:sz w:val="28"/>
          <w:szCs w:val="28"/>
        </w:rPr>
        <w:t xml:space="preserve"> реформ.</w:t>
      </w:r>
      <w:r w:rsidR="00057EE5">
        <w:rPr>
          <w:rFonts w:ascii="Times New Roman"/>
          <w:sz w:val="28"/>
          <w:szCs w:val="28"/>
        </w:rPr>
        <w:t xml:space="preserve"> Оскільки вони </w:t>
      </w:r>
      <w:r w:rsidRPr="004623ED">
        <w:rPr>
          <w:rFonts w:ascii="Times New Roman"/>
          <w:sz w:val="28"/>
          <w:szCs w:val="28"/>
        </w:rPr>
        <w:t xml:space="preserve">не є радикальними. </w:t>
      </w:r>
      <w:r w:rsidR="00057EE5">
        <w:rPr>
          <w:rFonts w:ascii="Times New Roman"/>
          <w:sz w:val="28"/>
          <w:szCs w:val="28"/>
        </w:rPr>
        <w:t xml:space="preserve">Замість реформ, уряду слід зосередитися на </w:t>
      </w:r>
      <w:r w:rsidRPr="004623ED">
        <w:rPr>
          <w:rFonts w:ascii="Times New Roman"/>
          <w:sz w:val="28"/>
          <w:szCs w:val="28"/>
        </w:rPr>
        <w:t>забезпеченні є достатн</w:t>
      </w:r>
      <w:r w:rsidR="00057EE5">
        <w:rPr>
          <w:rFonts w:ascii="Times New Roman"/>
          <w:sz w:val="28"/>
          <w:szCs w:val="28"/>
        </w:rPr>
        <w:t>ьої</w:t>
      </w:r>
      <w:r w:rsidRPr="004623ED">
        <w:rPr>
          <w:rFonts w:ascii="Times New Roman"/>
          <w:sz w:val="28"/>
          <w:szCs w:val="28"/>
        </w:rPr>
        <w:t xml:space="preserve"> кільк</w:t>
      </w:r>
      <w:r w:rsidR="00057EE5">
        <w:rPr>
          <w:rFonts w:ascii="Times New Roman"/>
          <w:sz w:val="28"/>
          <w:szCs w:val="28"/>
        </w:rPr>
        <w:t>ості</w:t>
      </w:r>
      <w:r w:rsidRPr="004623ED">
        <w:rPr>
          <w:rFonts w:ascii="Times New Roman"/>
          <w:sz w:val="28"/>
          <w:szCs w:val="28"/>
        </w:rPr>
        <w:t xml:space="preserve"> </w:t>
      </w:r>
      <w:r w:rsidR="00057EE5">
        <w:rPr>
          <w:rFonts w:ascii="Times New Roman"/>
          <w:sz w:val="28"/>
          <w:szCs w:val="28"/>
        </w:rPr>
        <w:t xml:space="preserve">таких </w:t>
      </w:r>
      <w:r w:rsidRPr="004623ED">
        <w:rPr>
          <w:rFonts w:ascii="Times New Roman"/>
          <w:sz w:val="28"/>
          <w:szCs w:val="28"/>
        </w:rPr>
        <w:t xml:space="preserve">проектів, які </w:t>
      </w:r>
      <w:r w:rsidR="00057EE5">
        <w:rPr>
          <w:rFonts w:ascii="Times New Roman"/>
          <w:sz w:val="28"/>
          <w:szCs w:val="28"/>
        </w:rPr>
        <w:t>мають адекватні</w:t>
      </w:r>
      <w:r w:rsidR="00311139">
        <w:rPr>
          <w:rFonts w:ascii="Times New Roman"/>
          <w:sz w:val="28"/>
          <w:szCs w:val="28"/>
        </w:rPr>
        <w:t xml:space="preserve"> перспективи п</w:t>
      </w:r>
      <w:r w:rsidR="00F33158">
        <w:rPr>
          <w:rFonts w:ascii="Times New Roman"/>
          <w:sz w:val="28"/>
          <w:szCs w:val="28"/>
        </w:rPr>
        <w:t xml:space="preserve">овернення. Більш гострою є проблема, що полягає </w:t>
      </w:r>
      <w:r w:rsidR="00311139">
        <w:rPr>
          <w:rFonts w:ascii="Times New Roman"/>
          <w:sz w:val="28"/>
          <w:szCs w:val="28"/>
        </w:rPr>
        <w:t xml:space="preserve">не </w:t>
      </w:r>
      <w:r w:rsidR="00F33158">
        <w:rPr>
          <w:rFonts w:ascii="Times New Roman"/>
          <w:sz w:val="28"/>
          <w:szCs w:val="28"/>
        </w:rPr>
        <w:t>у відсутності</w:t>
      </w:r>
      <w:r w:rsidR="00311139">
        <w:rPr>
          <w:rFonts w:ascii="Times New Roman"/>
          <w:sz w:val="28"/>
          <w:szCs w:val="28"/>
        </w:rPr>
        <w:t xml:space="preserve"> стимулів до інвестування в інфраструктурні проекти, а достатня пропозиція подібних проектів</w:t>
      </w:r>
      <w:r w:rsidR="00F33158">
        <w:rPr>
          <w:rFonts w:ascii="Times New Roman"/>
          <w:sz w:val="28"/>
          <w:szCs w:val="28"/>
        </w:rPr>
        <w:t xml:space="preserve"> з прийнятною нормою доходності. Це зумовлює низький рівень доходності активів пенсійних фондів.</w:t>
      </w:r>
    </w:p>
    <w:p w:rsidR="00F33158" w:rsidRPr="00F33158" w:rsidRDefault="006E3A75" w:rsidP="00C160D6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Стратегія пенсійних фондів</w:t>
      </w:r>
      <w:r w:rsidR="00F33158" w:rsidRPr="00F33158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передбачає вкладення в інвестиційні проекти</w:t>
      </w:r>
      <w:r w:rsidR="00F33158" w:rsidRPr="00F33158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які мають</w:t>
      </w:r>
      <w:r w:rsidR="00F33158" w:rsidRPr="00F33158">
        <w:rPr>
          <w:rFonts w:ascii="Times New Roman"/>
          <w:sz w:val="28"/>
          <w:szCs w:val="28"/>
        </w:rPr>
        <w:t xml:space="preserve"> помірну віддачу і помірний ризик. </w:t>
      </w:r>
      <w:r>
        <w:rPr>
          <w:rFonts w:ascii="Times New Roman"/>
          <w:sz w:val="28"/>
          <w:szCs w:val="28"/>
        </w:rPr>
        <w:t xml:space="preserve">Зазвичай, вони намагаються уникати придбання «смітникових» облігацій. </w:t>
      </w:r>
    </w:p>
    <w:p w:rsidR="00F33158" w:rsidRPr="00F33158" w:rsidRDefault="006E3A75" w:rsidP="006E3A75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Більшість з </w:t>
      </w:r>
      <w:r w:rsidR="00F33158" w:rsidRPr="00F33158">
        <w:rPr>
          <w:rFonts w:ascii="Times New Roman"/>
          <w:sz w:val="28"/>
          <w:szCs w:val="28"/>
        </w:rPr>
        <w:t xml:space="preserve">проектів, доступних в Великобританії, або занадто великі і складні для британських пенсійних фондів, або </w:t>
      </w:r>
      <w:r>
        <w:rPr>
          <w:rFonts w:ascii="Times New Roman"/>
          <w:sz w:val="28"/>
          <w:szCs w:val="28"/>
        </w:rPr>
        <w:t xml:space="preserve">мають занадто малу віддачу. </w:t>
      </w:r>
      <w:r w:rsidR="00F33158" w:rsidRPr="00F33158">
        <w:rPr>
          <w:rFonts w:ascii="Times New Roman"/>
          <w:sz w:val="28"/>
          <w:szCs w:val="28"/>
        </w:rPr>
        <w:t xml:space="preserve">Хоча британські пенсійні фонди продовжують вкладати набагато менше, в інфраструктуру, ніж </w:t>
      </w:r>
      <w:r>
        <w:rPr>
          <w:rFonts w:ascii="Times New Roman"/>
          <w:sz w:val="28"/>
          <w:szCs w:val="28"/>
        </w:rPr>
        <w:t xml:space="preserve">пенсійні фонди у </w:t>
      </w:r>
      <w:r w:rsidR="00F33158" w:rsidRPr="00F33158">
        <w:rPr>
          <w:rFonts w:ascii="Times New Roman"/>
          <w:sz w:val="28"/>
          <w:szCs w:val="28"/>
        </w:rPr>
        <w:t>Австралі</w:t>
      </w:r>
      <w:r>
        <w:rPr>
          <w:rFonts w:ascii="Times New Roman"/>
          <w:sz w:val="28"/>
          <w:szCs w:val="28"/>
        </w:rPr>
        <w:t>ї і Канаді</w:t>
      </w:r>
      <w:r w:rsidR="00F33158" w:rsidRPr="00F33158">
        <w:rPr>
          <w:rFonts w:ascii="Times New Roman"/>
          <w:sz w:val="28"/>
          <w:szCs w:val="28"/>
        </w:rPr>
        <w:t xml:space="preserve">, останні дані показують, </w:t>
      </w:r>
      <w:r>
        <w:rPr>
          <w:rFonts w:ascii="Times New Roman"/>
          <w:sz w:val="28"/>
          <w:szCs w:val="28"/>
        </w:rPr>
        <w:t xml:space="preserve">що </w:t>
      </w:r>
      <w:r w:rsidR="00F33158" w:rsidRPr="00F33158">
        <w:rPr>
          <w:rFonts w:ascii="Times New Roman"/>
          <w:sz w:val="28"/>
          <w:szCs w:val="28"/>
        </w:rPr>
        <w:t>інтерес зростає. У 2016 році британські пенсійні фонди мали в середньому 3,6 відсотка своїх активів, вкладених в інфраструктуру, в порівнянні з 3,2 відсотк</w:t>
      </w:r>
      <w:r>
        <w:rPr>
          <w:rFonts w:ascii="Times New Roman"/>
          <w:sz w:val="28"/>
          <w:szCs w:val="28"/>
        </w:rPr>
        <w:t xml:space="preserve">а в 2010 році, згідно з </w:t>
      </w:r>
      <w:proofErr w:type="spellStart"/>
      <w:r>
        <w:rPr>
          <w:rFonts w:ascii="Times New Roman"/>
          <w:sz w:val="28"/>
          <w:szCs w:val="28"/>
        </w:rPr>
        <w:t>Preqin</w:t>
      </w:r>
      <w:proofErr w:type="spellEnd"/>
      <w:r w:rsidR="00F3256D" w:rsidRPr="00F3256D">
        <w:rPr>
          <w:rFonts w:ascii="Times New Roman"/>
          <w:sz w:val="28"/>
          <w:szCs w:val="28"/>
          <w:lang w:val="ru-RU"/>
        </w:rPr>
        <w:t xml:space="preserve"> [11]</w:t>
      </w:r>
      <w:r>
        <w:rPr>
          <w:rFonts w:ascii="Times New Roman"/>
          <w:sz w:val="28"/>
          <w:szCs w:val="28"/>
        </w:rPr>
        <w:t>.</w:t>
      </w:r>
    </w:p>
    <w:p w:rsidR="00F33158" w:rsidRPr="00F33158" w:rsidRDefault="00F33158" w:rsidP="006E3A75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F33158">
        <w:rPr>
          <w:rFonts w:ascii="Times New Roman"/>
          <w:sz w:val="28"/>
          <w:szCs w:val="28"/>
        </w:rPr>
        <w:t xml:space="preserve">Протягом наступних трьох років, </w:t>
      </w:r>
      <w:r w:rsidR="006E3A75" w:rsidRPr="00F33158">
        <w:rPr>
          <w:rFonts w:ascii="Times New Roman"/>
          <w:sz w:val="28"/>
          <w:szCs w:val="28"/>
        </w:rPr>
        <w:t xml:space="preserve">згідно з результатами опитування, проведеного </w:t>
      </w:r>
      <w:proofErr w:type="spellStart"/>
      <w:r w:rsidR="006E3A75" w:rsidRPr="00F33158">
        <w:rPr>
          <w:rFonts w:ascii="Times New Roman"/>
          <w:sz w:val="28"/>
          <w:szCs w:val="28"/>
        </w:rPr>
        <w:t>First</w:t>
      </w:r>
      <w:proofErr w:type="spellEnd"/>
      <w:r w:rsidR="006E3A75" w:rsidRPr="00F33158">
        <w:rPr>
          <w:rFonts w:ascii="Times New Roman"/>
          <w:sz w:val="28"/>
          <w:szCs w:val="28"/>
        </w:rPr>
        <w:t xml:space="preserve">, який організовує  </w:t>
      </w:r>
      <w:r w:rsidR="006E3A75">
        <w:rPr>
          <w:rFonts w:ascii="Times New Roman"/>
          <w:sz w:val="28"/>
          <w:szCs w:val="28"/>
        </w:rPr>
        <w:t xml:space="preserve">інтерв’ю </w:t>
      </w:r>
      <w:r w:rsidR="006E3A75" w:rsidRPr="00F33158">
        <w:rPr>
          <w:rFonts w:ascii="Times New Roman"/>
          <w:sz w:val="28"/>
          <w:szCs w:val="28"/>
        </w:rPr>
        <w:t>інституціональних інвесторів</w:t>
      </w:r>
      <w:r w:rsidR="006E3A75" w:rsidRPr="006E3A75">
        <w:rPr>
          <w:rFonts w:ascii="Times New Roman"/>
          <w:sz w:val="28"/>
          <w:szCs w:val="28"/>
        </w:rPr>
        <w:t>,</w:t>
      </w:r>
      <w:r w:rsidR="006E3A75" w:rsidRPr="00F33158">
        <w:rPr>
          <w:rFonts w:ascii="Times New Roman"/>
          <w:sz w:val="28"/>
          <w:szCs w:val="28"/>
        </w:rPr>
        <w:t xml:space="preserve"> </w:t>
      </w:r>
      <w:r w:rsidRPr="00F33158">
        <w:rPr>
          <w:rFonts w:ascii="Times New Roman"/>
          <w:sz w:val="28"/>
          <w:szCs w:val="28"/>
        </w:rPr>
        <w:lastRenderedPageBreak/>
        <w:t>73 відсотків фахівців вищої ланки пенсійн</w:t>
      </w:r>
      <w:r w:rsidR="006E3A75">
        <w:rPr>
          <w:rFonts w:ascii="Times New Roman"/>
          <w:sz w:val="28"/>
          <w:szCs w:val="28"/>
        </w:rPr>
        <w:t>их</w:t>
      </w:r>
      <w:r w:rsidRPr="00F33158">
        <w:rPr>
          <w:rFonts w:ascii="Times New Roman"/>
          <w:sz w:val="28"/>
          <w:szCs w:val="28"/>
        </w:rPr>
        <w:t xml:space="preserve"> фонд</w:t>
      </w:r>
      <w:r w:rsidR="006E3A75">
        <w:rPr>
          <w:rFonts w:ascii="Times New Roman"/>
          <w:sz w:val="28"/>
          <w:szCs w:val="28"/>
        </w:rPr>
        <w:t>ів</w:t>
      </w:r>
      <w:r w:rsidRPr="00F33158">
        <w:rPr>
          <w:rFonts w:ascii="Times New Roman"/>
          <w:sz w:val="28"/>
          <w:szCs w:val="28"/>
        </w:rPr>
        <w:t xml:space="preserve"> </w:t>
      </w:r>
      <w:r w:rsidR="006E3A75">
        <w:rPr>
          <w:rFonts w:ascii="Times New Roman"/>
          <w:sz w:val="28"/>
          <w:szCs w:val="28"/>
        </w:rPr>
        <w:t>стверджують</w:t>
      </w:r>
      <w:r w:rsidRPr="00F33158">
        <w:rPr>
          <w:rFonts w:ascii="Times New Roman"/>
          <w:sz w:val="28"/>
          <w:szCs w:val="28"/>
        </w:rPr>
        <w:t>, що вони очікують схеми для з</w:t>
      </w:r>
      <w:r w:rsidR="006E3A75">
        <w:rPr>
          <w:rFonts w:ascii="Times New Roman"/>
          <w:sz w:val="28"/>
          <w:szCs w:val="28"/>
        </w:rPr>
        <w:t>ростання обсягів вкладень в</w:t>
      </w:r>
      <w:r w:rsidRPr="00F33158">
        <w:rPr>
          <w:rFonts w:ascii="Times New Roman"/>
          <w:sz w:val="28"/>
          <w:szCs w:val="28"/>
        </w:rPr>
        <w:t xml:space="preserve"> </w:t>
      </w:r>
      <w:r w:rsidR="006E3A75">
        <w:rPr>
          <w:rFonts w:ascii="Times New Roman"/>
          <w:sz w:val="28"/>
          <w:szCs w:val="28"/>
        </w:rPr>
        <w:t>інфраструктуру</w:t>
      </w:r>
      <w:r w:rsidRPr="00F33158">
        <w:rPr>
          <w:rFonts w:ascii="Times New Roman"/>
          <w:sz w:val="28"/>
          <w:szCs w:val="28"/>
        </w:rPr>
        <w:t xml:space="preserve">. Для порівняння, тільки 38 відсотків з 45 пенсійних чиновників, опитаних сказали те ж саме </w:t>
      </w:r>
      <w:r w:rsidR="006E3A75">
        <w:rPr>
          <w:rFonts w:ascii="Times New Roman"/>
          <w:sz w:val="28"/>
          <w:szCs w:val="28"/>
        </w:rPr>
        <w:t>про інвестування в нерухомість.</w:t>
      </w:r>
    </w:p>
    <w:p w:rsidR="00F33158" w:rsidRPr="00F33158" w:rsidRDefault="00031CEA" w:rsidP="00031CEA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</w:t>
      </w:r>
      <w:r w:rsidR="00F33158" w:rsidRPr="00F33158">
        <w:rPr>
          <w:rFonts w:ascii="Times New Roman"/>
          <w:sz w:val="28"/>
          <w:szCs w:val="28"/>
        </w:rPr>
        <w:t xml:space="preserve">днією з найбільших проблем, </w:t>
      </w:r>
      <w:r>
        <w:rPr>
          <w:rFonts w:ascii="Times New Roman"/>
          <w:sz w:val="28"/>
          <w:szCs w:val="28"/>
        </w:rPr>
        <w:t xml:space="preserve"> з якою </w:t>
      </w:r>
      <w:r w:rsidR="00F33158" w:rsidRPr="00F33158">
        <w:rPr>
          <w:rFonts w:ascii="Times New Roman"/>
          <w:sz w:val="28"/>
          <w:szCs w:val="28"/>
        </w:rPr>
        <w:t xml:space="preserve">інституційні інвестори стикаються в тому, є відсутність ясності </w:t>
      </w:r>
      <w:r>
        <w:rPr>
          <w:rFonts w:ascii="Times New Roman"/>
          <w:sz w:val="28"/>
          <w:szCs w:val="28"/>
        </w:rPr>
        <w:t>у визначенні вартості</w:t>
      </w:r>
      <w:r w:rsidR="00F33158" w:rsidRPr="00F33158">
        <w:rPr>
          <w:rFonts w:ascii="Times New Roman"/>
          <w:sz w:val="28"/>
          <w:szCs w:val="28"/>
        </w:rPr>
        <w:t xml:space="preserve"> фінансування </w:t>
      </w:r>
      <w:r>
        <w:rPr>
          <w:rFonts w:ascii="Times New Roman"/>
          <w:sz w:val="28"/>
          <w:szCs w:val="28"/>
        </w:rPr>
        <w:t>–</w:t>
      </w:r>
      <w:r w:rsidR="00F33158" w:rsidRPr="00F33158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доходи на інвестиції будуть отримані </w:t>
      </w:r>
      <w:r w:rsidR="00F33158" w:rsidRPr="00F33158">
        <w:rPr>
          <w:rFonts w:ascii="Times New Roman"/>
          <w:sz w:val="28"/>
          <w:szCs w:val="28"/>
        </w:rPr>
        <w:t xml:space="preserve">тільки </w:t>
      </w:r>
      <w:r>
        <w:rPr>
          <w:rFonts w:ascii="Times New Roman"/>
          <w:sz w:val="28"/>
          <w:szCs w:val="28"/>
        </w:rPr>
        <w:t xml:space="preserve">тоді, коли </w:t>
      </w:r>
      <w:r w:rsidR="00F33158" w:rsidRPr="00F33158">
        <w:rPr>
          <w:rFonts w:ascii="Times New Roman"/>
          <w:sz w:val="28"/>
          <w:szCs w:val="28"/>
        </w:rPr>
        <w:t xml:space="preserve">проект </w:t>
      </w:r>
      <w:r w:rsidR="00A209BB">
        <w:rPr>
          <w:rFonts w:ascii="Times New Roman"/>
          <w:sz w:val="28"/>
          <w:szCs w:val="28"/>
        </w:rPr>
        <w:t>буде завершено</w:t>
      </w:r>
      <w:r>
        <w:rPr>
          <w:rFonts w:ascii="Times New Roman"/>
          <w:sz w:val="28"/>
          <w:szCs w:val="28"/>
        </w:rPr>
        <w:t>.</w:t>
      </w:r>
    </w:p>
    <w:p w:rsidR="004623ED" w:rsidRPr="004623ED" w:rsidRDefault="00031CEA" w:rsidP="00F33158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З іншого боку причина гальмування </w:t>
      </w:r>
      <w:r w:rsidR="00F33158" w:rsidRPr="00F33158">
        <w:rPr>
          <w:rFonts w:ascii="Times New Roman"/>
          <w:sz w:val="28"/>
          <w:szCs w:val="28"/>
        </w:rPr>
        <w:t xml:space="preserve">проектів на даний момент, </w:t>
      </w:r>
      <w:r>
        <w:rPr>
          <w:rFonts w:ascii="Times New Roman"/>
          <w:sz w:val="28"/>
          <w:szCs w:val="28"/>
        </w:rPr>
        <w:t xml:space="preserve">криється у </w:t>
      </w:r>
      <w:r w:rsidR="00F33158" w:rsidRPr="00F33158">
        <w:rPr>
          <w:rFonts w:ascii="Times New Roman"/>
          <w:sz w:val="28"/>
          <w:szCs w:val="28"/>
        </w:rPr>
        <w:t>тому що вони не фінансуються належним чином.</w:t>
      </w:r>
      <w:r>
        <w:rPr>
          <w:rFonts w:ascii="Times New Roman"/>
          <w:sz w:val="28"/>
          <w:szCs w:val="28"/>
        </w:rPr>
        <w:t xml:space="preserve"> Але для багатьох пенсійних фондів незрозуміло, яку доходність вони матимуть</w:t>
      </w:r>
      <w:r w:rsidR="00A209BB">
        <w:rPr>
          <w:rFonts w:ascii="Times New Roman"/>
          <w:sz w:val="28"/>
          <w:szCs w:val="28"/>
        </w:rPr>
        <w:t>.</w:t>
      </w:r>
    </w:p>
    <w:p w:rsidR="004623ED" w:rsidRPr="004623ED" w:rsidRDefault="004623ED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 w:rsidRPr="004623ED">
        <w:rPr>
          <w:rFonts w:ascii="Times New Roman"/>
          <w:sz w:val="28"/>
          <w:szCs w:val="28"/>
        </w:rPr>
        <w:t xml:space="preserve">Деякі пенсійні фонди також неохоче вкладають кошти в проекти, які ще належить побудувати, так звані </w:t>
      </w:r>
      <w:r w:rsidR="00031CEA">
        <w:rPr>
          <w:rFonts w:ascii="Times New Roman"/>
          <w:sz w:val="28"/>
          <w:szCs w:val="28"/>
        </w:rPr>
        <w:t>«зелені» - незрілі</w:t>
      </w:r>
      <w:r w:rsidRPr="004623ED">
        <w:rPr>
          <w:rFonts w:ascii="Times New Roman"/>
          <w:sz w:val="28"/>
          <w:szCs w:val="28"/>
        </w:rPr>
        <w:t xml:space="preserve"> проекти. Ці проекти</w:t>
      </w:r>
      <w:r w:rsidR="00031CEA">
        <w:rPr>
          <w:rFonts w:ascii="Times New Roman"/>
          <w:sz w:val="28"/>
          <w:szCs w:val="28"/>
        </w:rPr>
        <w:t xml:space="preserve"> мають ризиковий профіль</w:t>
      </w:r>
      <w:r w:rsidRPr="004623ED">
        <w:rPr>
          <w:rFonts w:ascii="Times New Roman"/>
          <w:sz w:val="28"/>
          <w:szCs w:val="28"/>
        </w:rPr>
        <w:t xml:space="preserve"> </w:t>
      </w:r>
      <w:r w:rsidR="00031CEA">
        <w:rPr>
          <w:rFonts w:ascii="Times New Roman"/>
          <w:sz w:val="28"/>
          <w:szCs w:val="28"/>
        </w:rPr>
        <w:t xml:space="preserve">оскільки </w:t>
      </w:r>
      <w:r w:rsidRPr="004623ED">
        <w:rPr>
          <w:rFonts w:ascii="Times New Roman"/>
          <w:sz w:val="28"/>
          <w:szCs w:val="28"/>
        </w:rPr>
        <w:t>мож</w:t>
      </w:r>
      <w:r w:rsidR="00B144FB">
        <w:rPr>
          <w:rFonts w:ascii="Times New Roman"/>
          <w:sz w:val="28"/>
          <w:szCs w:val="28"/>
        </w:rPr>
        <w:t>е</w:t>
      </w:r>
      <w:r w:rsidRPr="004623ED">
        <w:rPr>
          <w:rFonts w:ascii="Times New Roman"/>
          <w:sz w:val="28"/>
          <w:szCs w:val="28"/>
        </w:rPr>
        <w:t xml:space="preserve"> виникнути </w:t>
      </w:r>
      <w:r w:rsidR="00B144FB">
        <w:rPr>
          <w:rFonts w:ascii="Times New Roman"/>
          <w:sz w:val="28"/>
          <w:szCs w:val="28"/>
        </w:rPr>
        <w:t xml:space="preserve">така </w:t>
      </w:r>
      <w:r w:rsidRPr="004623ED">
        <w:rPr>
          <w:rFonts w:ascii="Times New Roman"/>
          <w:sz w:val="28"/>
          <w:szCs w:val="28"/>
        </w:rPr>
        <w:t>проблем</w:t>
      </w:r>
      <w:r w:rsidR="00B144FB">
        <w:rPr>
          <w:rFonts w:ascii="Times New Roman"/>
          <w:sz w:val="28"/>
          <w:szCs w:val="28"/>
        </w:rPr>
        <w:t>а</w:t>
      </w:r>
      <w:r w:rsidRPr="004623ED">
        <w:rPr>
          <w:rFonts w:ascii="Times New Roman"/>
          <w:sz w:val="28"/>
          <w:szCs w:val="28"/>
        </w:rPr>
        <w:t xml:space="preserve"> під час будівництва, </w:t>
      </w:r>
      <w:r w:rsidR="00B144FB">
        <w:rPr>
          <w:rFonts w:ascii="Times New Roman"/>
          <w:sz w:val="28"/>
          <w:szCs w:val="28"/>
        </w:rPr>
        <w:t xml:space="preserve">як зростання вартості </w:t>
      </w:r>
      <w:r w:rsidRPr="004623ED">
        <w:rPr>
          <w:rFonts w:ascii="Times New Roman"/>
          <w:sz w:val="28"/>
          <w:szCs w:val="28"/>
        </w:rPr>
        <w:t>робіт</w:t>
      </w:r>
      <w:r w:rsidR="00B144FB">
        <w:rPr>
          <w:rFonts w:ascii="Times New Roman"/>
          <w:sz w:val="28"/>
          <w:szCs w:val="28"/>
        </w:rPr>
        <w:t>, що несе в собі потенціал витрат</w:t>
      </w:r>
      <w:r w:rsidR="00A209BB">
        <w:rPr>
          <w:rFonts w:ascii="Times New Roman"/>
          <w:sz w:val="28"/>
          <w:szCs w:val="28"/>
        </w:rPr>
        <w:t>.</w:t>
      </w:r>
      <w:r w:rsidRPr="004623ED">
        <w:rPr>
          <w:rFonts w:ascii="Times New Roman"/>
          <w:sz w:val="28"/>
          <w:szCs w:val="28"/>
        </w:rPr>
        <w:t xml:space="preserve"> </w:t>
      </w:r>
    </w:p>
    <w:p w:rsidR="004623ED" w:rsidRDefault="00B144FB" w:rsidP="00B144FB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</w:t>
      </w:r>
      <w:r w:rsidR="004623ED" w:rsidRPr="004623ED">
        <w:rPr>
          <w:rFonts w:ascii="Times New Roman"/>
          <w:sz w:val="28"/>
          <w:szCs w:val="28"/>
        </w:rPr>
        <w:t>рямі інвестиції в інфраструктуру також мож</w:t>
      </w:r>
      <w:r>
        <w:rPr>
          <w:rFonts w:ascii="Times New Roman"/>
          <w:sz w:val="28"/>
          <w:szCs w:val="28"/>
        </w:rPr>
        <w:t>уть</w:t>
      </w:r>
      <w:r w:rsidR="004623ED" w:rsidRPr="004623ED">
        <w:rPr>
          <w:rFonts w:ascii="Times New Roman"/>
          <w:sz w:val="28"/>
          <w:szCs w:val="28"/>
        </w:rPr>
        <w:t xml:space="preserve"> бути надзвичайно складним з адміністративної точки зору. У багатьох випадках, пенсійні фонди </w:t>
      </w:r>
      <w:r>
        <w:rPr>
          <w:rFonts w:ascii="Times New Roman"/>
          <w:sz w:val="28"/>
          <w:szCs w:val="28"/>
        </w:rPr>
        <w:t>прагнуть</w:t>
      </w:r>
      <w:r w:rsidR="004623ED" w:rsidRPr="004623ED">
        <w:rPr>
          <w:rFonts w:ascii="Times New Roman"/>
          <w:sz w:val="28"/>
          <w:szCs w:val="28"/>
        </w:rPr>
        <w:t xml:space="preserve"> б ку</w:t>
      </w:r>
      <w:r>
        <w:rPr>
          <w:rFonts w:ascii="Times New Roman"/>
          <w:sz w:val="28"/>
          <w:szCs w:val="28"/>
        </w:rPr>
        <w:t>пувати проекти, які вже і працюють</w:t>
      </w:r>
      <w:r w:rsidR="004623ED" w:rsidRPr="004623ED">
        <w:rPr>
          <w:rFonts w:ascii="Times New Roman"/>
          <w:sz w:val="28"/>
          <w:szCs w:val="28"/>
        </w:rPr>
        <w:t xml:space="preserve">, дозволяючи їм </w:t>
      </w:r>
      <w:r w:rsidR="00A209BB">
        <w:rPr>
          <w:rFonts w:ascii="Times New Roman"/>
          <w:sz w:val="28"/>
          <w:szCs w:val="28"/>
        </w:rPr>
        <w:t>отримувати</w:t>
      </w:r>
      <w:r w:rsidR="004623ED" w:rsidRPr="004623ED">
        <w:rPr>
          <w:rFonts w:ascii="Times New Roman"/>
          <w:sz w:val="28"/>
          <w:szCs w:val="28"/>
        </w:rPr>
        <w:t xml:space="preserve"> стійки</w:t>
      </w:r>
      <w:r w:rsidR="00A209BB">
        <w:rPr>
          <w:rFonts w:ascii="Times New Roman"/>
          <w:sz w:val="28"/>
          <w:szCs w:val="28"/>
        </w:rPr>
        <w:t>й</w:t>
      </w:r>
      <w:r>
        <w:rPr>
          <w:rFonts w:ascii="Times New Roman"/>
          <w:sz w:val="28"/>
          <w:szCs w:val="28"/>
        </w:rPr>
        <w:t xml:space="preserve"> рів</w:t>
      </w:r>
      <w:r w:rsidR="00A209BB">
        <w:rPr>
          <w:rFonts w:ascii="Times New Roman"/>
          <w:sz w:val="28"/>
          <w:szCs w:val="28"/>
        </w:rPr>
        <w:t>ень</w:t>
      </w:r>
      <w:r>
        <w:rPr>
          <w:rFonts w:ascii="Times New Roman"/>
          <w:sz w:val="28"/>
          <w:szCs w:val="28"/>
        </w:rPr>
        <w:t xml:space="preserve"> доходу</w:t>
      </w:r>
      <w:r w:rsidR="004623ED" w:rsidRPr="004623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з прийнятним рівнем</w:t>
      </w:r>
      <w:r w:rsidR="004623ED" w:rsidRPr="004623ED">
        <w:rPr>
          <w:rFonts w:ascii="Times New Roman"/>
          <w:sz w:val="28"/>
          <w:szCs w:val="28"/>
        </w:rPr>
        <w:t xml:space="preserve"> ризику. </w:t>
      </w:r>
      <w:r>
        <w:rPr>
          <w:rFonts w:ascii="Times New Roman"/>
          <w:sz w:val="28"/>
          <w:szCs w:val="28"/>
        </w:rPr>
        <w:t>Є п</w:t>
      </w:r>
      <w:r w:rsidR="004623ED" w:rsidRPr="004623ED">
        <w:rPr>
          <w:rFonts w:ascii="Times New Roman"/>
          <w:sz w:val="28"/>
          <w:szCs w:val="28"/>
        </w:rPr>
        <w:t xml:space="preserve">ереконання в тому, що все більше пенсійних схем були б готові підтримати енергетичні, транспортні та водні проекти, якщо уряд фінансував </w:t>
      </w:r>
      <w:r>
        <w:rPr>
          <w:rFonts w:ascii="Times New Roman"/>
          <w:sz w:val="28"/>
          <w:szCs w:val="28"/>
        </w:rPr>
        <w:t xml:space="preserve">би </w:t>
      </w:r>
      <w:r w:rsidR="004623ED" w:rsidRPr="004623ED">
        <w:rPr>
          <w:rFonts w:ascii="Times New Roman"/>
          <w:sz w:val="28"/>
          <w:szCs w:val="28"/>
        </w:rPr>
        <w:t>деякі ризики.</w:t>
      </w:r>
    </w:p>
    <w:p w:rsidR="00F3256D" w:rsidRPr="004623ED" w:rsidRDefault="00F3256D" w:rsidP="00F3256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Наявність такого механізму</w:t>
      </w:r>
      <w:r w:rsidRPr="004623ED">
        <w:rPr>
          <w:rFonts w:ascii="Times New Roman"/>
          <w:sz w:val="28"/>
          <w:szCs w:val="28"/>
        </w:rPr>
        <w:t xml:space="preserve">, де уряд приймає деякі з ризиків, </w:t>
      </w:r>
      <w:r>
        <w:rPr>
          <w:rFonts w:ascii="Times New Roman"/>
          <w:sz w:val="28"/>
          <w:szCs w:val="28"/>
        </w:rPr>
        <w:t xml:space="preserve">спонукатиме </w:t>
      </w:r>
      <w:r w:rsidRPr="004623ED">
        <w:rPr>
          <w:rFonts w:ascii="Times New Roman"/>
          <w:sz w:val="28"/>
          <w:szCs w:val="28"/>
        </w:rPr>
        <w:t>пенсійні фонди вкладати гроші з самого першого дня</w:t>
      </w:r>
      <w:r>
        <w:rPr>
          <w:rFonts w:ascii="Times New Roman"/>
          <w:sz w:val="28"/>
          <w:szCs w:val="28"/>
        </w:rPr>
        <w:t xml:space="preserve"> існування проекту. </w:t>
      </w:r>
      <w:r w:rsidRPr="004623ED">
        <w:rPr>
          <w:rFonts w:ascii="Times New Roman"/>
          <w:sz w:val="28"/>
          <w:szCs w:val="28"/>
        </w:rPr>
        <w:t xml:space="preserve">Альтернативний варіант для </w:t>
      </w:r>
      <w:r>
        <w:rPr>
          <w:rFonts w:ascii="Times New Roman"/>
          <w:sz w:val="28"/>
          <w:szCs w:val="28"/>
        </w:rPr>
        <w:t xml:space="preserve">вирішення проблеми входу пенсійного фонду у проект - </w:t>
      </w:r>
      <w:r w:rsidRPr="004623ED">
        <w:rPr>
          <w:rFonts w:ascii="Times New Roman"/>
          <w:sz w:val="28"/>
          <w:szCs w:val="28"/>
        </w:rPr>
        <w:t xml:space="preserve"> фінансування первинного будівництва, що дозволяє приватному сектору побудувати</w:t>
      </w:r>
      <w:r>
        <w:rPr>
          <w:rFonts w:ascii="Times New Roman"/>
          <w:sz w:val="28"/>
          <w:szCs w:val="28"/>
        </w:rPr>
        <w:t xml:space="preserve"> об’єкт,</w:t>
      </w:r>
      <w:r w:rsidRPr="004623ED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а потім продати його</w:t>
      </w:r>
      <w:r w:rsidRPr="004623ED">
        <w:rPr>
          <w:rFonts w:ascii="Times New Roman"/>
          <w:sz w:val="28"/>
          <w:szCs w:val="28"/>
        </w:rPr>
        <w:t xml:space="preserve"> пенсійн</w:t>
      </w:r>
      <w:r>
        <w:rPr>
          <w:rFonts w:ascii="Times New Roman"/>
          <w:sz w:val="28"/>
          <w:szCs w:val="28"/>
        </w:rPr>
        <w:t>ому фонду</w:t>
      </w:r>
      <w:r w:rsidRPr="004623ED">
        <w:rPr>
          <w:rFonts w:ascii="Times New Roman"/>
          <w:sz w:val="28"/>
          <w:szCs w:val="28"/>
        </w:rPr>
        <w:t xml:space="preserve">, коли </w:t>
      </w:r>
      <w:r>
        <w:rPr>
          <w:rFonts w:ascii="Times New Roman"/>
          <w:sz w:val="28"/>
          <w:szCs w:val="28"/>
        </w:rPr>
        <w:t>він вже генерує певний дохід. У такому випадку п</w:t>
      </w:r>
      <w:r w:rsidRPr="004623ED">
        <w:rPr>
          <w:rFonts w:ascii="Times New Roman"/>
          <w:sz w:val="28"/>
          <w:szCs w:val="28"/>
        </w:rPr>
        <w:t xml:space="preserve">енсійні фонди потім будуть готові платити більше за </w:t>
      </w:r>
      <w:r>
        <w:rPr>
          <w:rFonts w:ascii="Times New Roman"/>
          <w:sz w:val="28"/>
          <w:szCs w:val="28"/>
        </w:rPr>
        <w:t>збудований об’єкт</w:t>
      </w:r>
      <w:r w:rsidRPr="004623ED">
        <w:rPr>
          <w:rFonts w:ascii="Times New Roman"/>
          <w:sz w:val="28"/>
          <w:szCs w:val="28"/>
        </w:rPr>
        <w:t xml:space="preserve">, </w:t>
      </w:r>
      <w:r w:rsidRPr="004623ED">
        <w:rPr>
          <w:rFonts w:ascii="Times New Roman"/>
          <w:sz w:val="28"/>
          <w:szCs w:val="28"/>
        </w:rPr>
        <w:lastRenderedPageBreak/>
        <w:t xml:space="preserve">тому що це менш ризиковано. Уряд може використовувати </w:t>
      </w:r>
      <w:proofErr w:type="spellStart"/>
      <w:r>
        <w:rPr>
          <w:rFonts w:ascii="Times New Roman"/>
          <w:sz w:val="28"/>
          <w:szCs w:val="28"/>
          <w:lang w:val="ru-RU"/>
        </w:rPr>
        <w:t>отриман</w:t>
      </w:r>
      <w:proofErr w:type="spellEnd"/>
      <w:r>
        <w:rPr>
          <w:rFonts w:ascii="Times New Roman"/>
          <w:sz w:val="28"/>
          <w:szCs w:val="28"/>
        </w:rPr>
        <w:t>і прибутки</w:t>
      </w:r>
      <w:r w:rsidRPr="004623ED">
        <w:rPr>
          <w:rFonts w:ascii="Times New Roman"/>
          <w:sz w:val="28"/>
          <w:szCs w:val="28"/>
        </w:rPr>
        <w:t xml:space="preserve"> від продажу </w:t>
      </w:r>
      <w:r>
        <w:rPr>
          <w:rFonts w:ascii="Times New Roman"/>
          <w:sz w:val="28"/>
          <w:szCs w:val="28"/>
        </w:rPr>
        <w:t>на розробку нових проектів</w:t>
      </w:r>
      <w:r w:rsidRPr="004623ED">
        <w:rPr>
          <w:rFonts w:ascii="Times New Roman"/>
          <w:sz w:val="28"/>
          <w:szCs w:val="28"/>
        </w:rPr>
        <w:t>.</w:t>
      </w:r>
    </w:p>
    <w:p w:rsidR="00F3256D" w:rsidRPr="00F3256D" w:rsidRDefault="00C160D6" w:rsidP="00F3256D">
      <w:pPr>
        <w:spacing w:after="0" w:line="360" w:lineRule="auto"/>
        <w:ind w:firstLine="709"/>
        <w:jc w:val="both"/>
        <w:rPr>
          <w:rFonts w:ascii="Times New Roman"/>
          <w:sz w:val="28"/>
          <w:szCs w:val="28"/>
          <w:lang w:val="ru-RU"/>
        </w:rPr>
      </w:pPr>
      <w:proofErr w:type="spellStart"/>
      <w:r w:rsidRPr="00C160D6">
        <w:rPr>
          <w:rFonts w:ascii="Times New Roman"/>
          <w:b/>
          <w:sz w:val="28"/>
          <w:szCs w:val="28"/>
          <w:lang w:val="ru-RU"/>
        </w:rPr>
        <w:t>Висновок</w:t>
      </w:r>
      <w:proofErr w:type="spellEnd"/>
      <w:r w:rsidRPr="00C160D6">
        <w:rPr>
          <w:rFonts w:ascii="Times New Roman"/>
          <w:b/>
          <w:sz w:val="28"/>
          <w:szCs w:val="28"/>
          <w:lang w:val="ru-RU"/>
        </w:rPr>
        <w:t>.</w:t>
      </w:r>
      <w:r>
        <w:rPr>
          <w:rFonts w:ascii="Times New Roman"/>
          <w:sz w:val="28"/>
          <w:szCs w:val="28"/>
          <w:lang w:val="ru-RU"/>
        </w:rPr>
        <w:t xml:space="preserve"> </w:t>
      </w:r>
      <w:r w:rsidR="007D1F6E">
        <w:rPr>
          <w:rFonts w:ascii="Times New Roman"/>
          <w:sz w:val="28"/>
          <w:szCs w:val="28"/>
        </w:rPr>
        <w:t>Наявність такого механізму</w:t>
      </w:r>
      <w:r w:rsidR="004623ED" w:rsidRPr="004623ED">
        <w:rPr>
          <w:rFonts w:ascii="Times New Roman"/>
          <w:sz w:val="28"/>
          <w:szCs w:val="28"/>
        </w:rPr>
        <w:t xml:space="preserve">, де уряд приймає деякі з ризиків, </w:t>
      </w:r>
      <w:r w:rsidR="00A209BB">
        <w:rPr>
          <w:rFonts w:ascii="Times New Roman"/>
          <w:sz w:val="28"/>
          <w:szCs w:val="28"/>
        </w:rPr>
        <w:t xml:space="preserve">спонукатиме </w:t>
      </w:r>
      <w:r w:rsidR="004623ED" w:rsidRPr="004623ED">
        <w:rPr>
          <w:rFonts w:ascii="Times New Roman"/>
          <w:sz w:val="28"/>
          <w:szCs w:val="28"/>
        </w:rPr>
        <w:t>пенсійні фонди вкладати гроші з самого першого дня</w:t>
      </w:r>
      <w:r w:rsidR="007D1F6E">
        <w:rPr>
          <w:rFonts w:ascii="Times New Roman"/>
          <w:sz w:val="28"/>
          <w:szCs w:val="28"/>
        </w:rPr>
        <w:t xml:space="preserve"> існування проекту. </w:t>
      </w:r>
      <w:r w:rsidR="004623ED" w:rsidRPr="004623ED">
        <w:rPr>
          <w:rFonts w:ascii="Times New Roman"/>
          <w:sz w:val="28"/>
          <w:szCs w:val="28"/>
        </w:rPr>
        <w:t xml:space="preserve">Альтернативний варіант для </w:t>
      </w:r>
      <w:r w:rsidR="007D1F6E">
        <w:rPr>
          <w:rFonts w:ascii="Times New Roman"/>
          <w:sz w:val="28"/>
          <w:szCs w:val="28"/>
        </w:rPr>
        <w:t xml:space="preserve">вирішення проблеми входу пенсійного фонду у проект - </w:t>
      </w:r>
      <w:r w:rsidR="004623ED" w:rsidRPr="004623ED">
        <w:rPr>
          <w:rFonts w:ascii="Times New Roman"/>
          <w:sz w:val="28"/>
          <w:szCs w:val="28"/>
        </w:rPr>
        <w:t xml:space="preserve"> фінансування первинного будівництва, що дозволяє приватному сектору побудувати</w:t>
      </w:r>
      <w:r w:rsidR="007D1F6E">
        <w:rPr>
          <w:rFonts w:ascii="Times New Roman"/>
          <w:sz w:val="28"/>
          <w:szCs w:val="28"/>
        </w:rPr>
        <w:t xml:space="preserve"> об’єкт,</w:t>
      </w:r>
      <w:r w:rsidR="004623ED" w:rsidRPr="004623ED">
        <w:rPr>
          <w:rFonts w:ascii="Times New Roman"/>
          <w:sz w:val="28"/>
          <w:szCs w:val="28"/>
        </w:rPr>
        <w:t xml:space="preserve"> </w:t>
      </w:r>
      <w:r w:rsidR="007D1F6E">
        <w:rPr>
          <w:rFonts w:ascii="Times New Roman"/>
          <w:sz w:val="28"/>
          <w:szCs w:val="28"/>
        </w:rPr>
        <w:t>а потім продати його</w:t>
      </w:r>
      <w:r w:rsidR="004623ED" w:rsidRPr="004623ED">
        <w:rPr>
          <w:rFonts w:ascii="Times New Roman"/>
          <w:sz w:val="28"/>
          <w:szCs w:val="28"/>
        </w:rPr>
        <w:t xml:space="preserve"> пенсійн</w:t>
      </w:r>
      <w:r w:rsidR="007D1F6E">
        <w:rPr>
          <w:rFonts w:ascii="Times New Roman"/>
          <w:sz w:val="28"/>
          <w:szCs w:val="28"/>
        </w:rPr>
        <w:t>ому фонду</w:t>
      </w:r>
      <w:r w:rsidR="004623ED" w:rsidRPr="004623ED">
        <w:rPr>
          <w:rFonts w:ascii="Times New Roman"/>
          <w:sz w:val="28"/>
          <w:szCs w:val="28"/>
        </w:rPr>
        <w:t xml:space="preserve">, коли </w:t>
      </w:r>
      <w:r w:rsidR="007D1F6E">
        <w:rPr>
          <w:rFonts w:ascii="Times New Roman"/>
          <w:sz w:val="28"/>
          <w:szCs w:val="28"/>
        </w:rPr>
        <w:t>він вже генерує певний дохід. У такому випадку п</w:t>
      </w:r>
      <w:r w:rsidR="004623ED" w:rsidRPr="004623ED">
        <w:rPr>
          <w:rFonts w:ascii="Times New Roman"/>
          <w:sz w:val="28"/>
          <w:szCs w:val="28"/>
        </w:rPr>
        <w:t xml:space="preserve">енсійні фонди </w:t>
      </w:r>
      <w:r w:rsidR="00A209BB" w:rsidRPr="004623ED">
        <w:rPr>
          <w:rFonts w:ascii="Times New Roman"/>
          <w:sz w:val="28"/>
          <w:szCs w:val="28"/>
        </w:rPr>
        <w:t xml:space="preserve">потім </w:t>
      </w:r>
      <w:r w:rsidR="004623ED" w:rsidRPr="004623ED">
        <w:rPr>
          <w:rFonts w:ascii="Times New Roman"/>
          <w:sz w:val="28"/>
          <w:szCs w:val="28"/>
        </w:rPr>
        <w:t xml:space="preserve">будуть готові платити більше за </w:t>
      </w:r>
      <w:r w:rsidR="007D1F6E">
        <w:rPr>
          <w:rFonts w:ascii="Times New Roman"/>
          <w:sz w:val="28"/>
          <w:szCs w:val="28"/>
        </w:rPr>
        <w:t>збудований об’єкт</w:t>
      </w:r>
      <w:r w:rsidR="004623ED" w:rsidRPr="004623ED">
        <w:rPr>
          <w:rFonts w:ascii="Times New Roman"/>
          <w:sz w:val="28"/>
          <w:szCs w:val="28"/>
        </w:rPr>
        <w:t xml:space="preserve">, тому що це менш ризиковано. Уряд може використовувати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отриман</w:t>
      </w:r>
      <w:proofErr w:type="spellEnd"/>
      <w:r w:rsidR="00F3256D">
        <w:rPr>
          <w:rFonts w:ascii="Times New Roman"/>
          <w:sz w:val="28"/>
          <w:szCs w:val="28"/>
        </w:rPr>
        <w:t>і прибутки</w:t>
      </w:r>
      <w:r w:rsidR="004623ED" w:rsidRPr="004623ED">
        <w:rPr>
          <w:rFonts w:ascii="Times New Roman"/>
          <w:sz w:val="28"/>
          <w:szCs w:val="28"/>
        </w:rPr>
        <w:t xml:space="preserve"> від продажу </w:t>
      </w:r>
      <w:r w:rsidR="007D1F6E">
        <w:rPr>
          <w:rFonts w:ascii="Times New Roman"/>
          <w:sz w:val="28"/>
          <w:szCs w:val="28"/>
        </w:rPr>
        <w:t>на розробку нових проектів</w:t>
      </w:r>
      <w:r w:rsidR="004623ED" w:rsidRPr="004623ED">
        <w:rPr>
          <w:rFonts w:ascii="Times New Roman"/>
          <w:sz w:val="28"/>
          <w:szCs w:val="28"/>
        </w:rPr>
        <w:t>.</w:t>
      </w:r>
      <w:r w:rsidR="00F3256D">
        <w:rPr>
          <w:rFonts w:ascii="Times New Roman"/>
          <w:sz w:val="28"/>
          <w:szCs w:val="28"/>
          <w:lang w:val="ru-RU"/>
        </w:rPr>
        <w:t xml:space="preserve">  Є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необхідність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також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у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компенсації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урядом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доходності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по проектах,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які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реалізовуються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на засадах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публічно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приватного партнерства.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Усі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ці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рекомендації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можливо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імплементувати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у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діяльність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недержавних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пенсійних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фондів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України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за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умови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внесення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змін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у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відповідне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законодавство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,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що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регулює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сферу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недержавного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пенсійного</w:t>
      </w:r>
      <w:proofErr w:type="spellEnd"/>
      <w:r w:rsidR="00F3256D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F3256D">
        <w:rPr>
          <w:rFonts w:ascii="Times New Roman"/>
          <w:sz w:val="28"/>
          <w:szCs w:val="28"/>
          <w:lang w:val="ru-RU"/>
        </w:rPr>
        <w:t>забезпечення</w:t>
      </w:r>
      <w:proofErr w:type="spellEnd"/>
      <w:r w:rsidR="00F3256D">
        <w:rPr>
          <w:rFonts w:ascii="Times New Roman"/>
          <w:sz w:val="28"/>
          <w:szCs w:val="28"/>
          <w:lang w:val="ru-RU"/>
        </w:rPr>
        <w:t>.</w:t>
      </w:r>
    </w:p>
    <w:p w:rsidR="00F3256D" w:rsidRDefault="00F3256D" w:rsidP="007D1F6E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F3256D" w:rsidRDefault="00F3256D" w:rsidP="00F3256D">
      <w:pPr>
        <w:spacing w:after="0" w:line="360" w:lineRule="auto"/>
        <w:ind w:firstLine="709"/>
        <w:jc w:val="center"/>
        <w:rPr>
          <w:rFonts w:ascii="Times New Roman"/>
          <w:b/>
          <w:sz w:val="28"/>
          <w:szCs w:val="28"/>
          <w:lang w:val="ru-RU"/>
        </w:rPr>
      </w:pPr>
      <w:r w:rsidRPr="00F3256D">
        <w:rPr>
          <w:rFonts w:ascii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F3256D">
        <w:rPr>
          <w:rFonts w:ascii="Times New Roman"/>
          <w:b/>
          <w:sz w:val="28"/>
          <w:szCs w:val="28"/>
          <w:lang w:val="ru-RU"/>
        </w:rPr>
        <w:t>використаних</w:t>
      </w:r>
      <w:proofErr w:type="spellEnd"/>
      <w:r w:rsidRPr="00F3256D">
        <w:rPr>
          <w:rFonts w:ascii="Times New Roman"/>
          <w:b/>
          <w:sz w:val="28"/>
          <w:szCs w:val="28"/>
          <w:lang w:val="ru-RU"/>
        </w:rPr>
        <w:t xml:space="preserve"> </w:t>
      </w:r>
      <w:proofErr w:type="spellStart"/>
      <w:r w:rsidRPr="00F3256D">
        <w:rPr>
          <w:rFonts w:ascii="Times New Roman"/>
          <w:b/>
          <w:sz w:val="28"/>
          <w:szCs w:val="28"/>
          <w:lang w:val="ru-RU"/>
        </w:rPr>
        <w:t>джерел</w:t>
      </w:r>
      <w:proofErr w:type="spellEnd"/>
      <w:r w:rsidRPr="00F3256D">
        <w:rPr>
          <w:rFonts w:ascii="Times New Roman"/>
          <w:b/>
          <w:sz w:val="28"/>
          <w:szCs w:val="28"/>
          <w:lang w:val="ru-RU"/>
        </w:rPr>
        <w:t>:</w:t>
      </w:r>
    </w:p>
    <w:p w:rsidR="00F3256D" w:rsidRPr="00F3256D" w:rsidRDefault="00F3256D" w:rsidP="00F3256D">
      <w:pPr>
        <w:spacing w:after="0" w:line="360" w:lineRule="auto"/>
        <w:ind w:firstLine="709"/>
        <w:jc w:val="center"/>
        <w:rPr>
          <w:rFonts w:ascii="Times New Roman"/>
          <w:b/>
          <w:sz w:val="28"/>
          <w:szCs w:val="28"/>
          <w:lang w:val="ru-RU"/>
        </w:rPr>
      </w:pP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r w:rsidRPr="00F3256D">
        <w:rPr>
          <w:rFonts w:ascii="Times New Roman"/>
          <w:sz w:val="28"/>
          <w:szCs w:val="28"/>
        </w:rPr>
        <w:t>Управління безпекою небанківських фінансових установ : колективна монографія / М. І. Диба, А. В. </w:t>
      </w:r>
      <w:proofErr w:type="spellStart"/>
      <w:r w:rsidRPr="00F3256D">
        <w:rPr>
          <w:rFonts w:ascii="Times New Roman"/>
          <w:sz w:val="28"/>
          <w:szCs w:val="28"/>
        </w:rPr>
        <w:t>Бєгун</w:t>
      </w:r>
      <w:proofErr w:type="spellEnd"/>
      <w:r w:rsidRPr="00F3256D">
        <w:rPr>
          <w:rFonts w:ascii="Times New Roman"/>
          <w:sz w:val="28"/>
          <w:szCs w:val="28"/>
        </w:rPr>
        <w:t xml:space="preserve">, О. В. </w:t>
      </w:r>
      <w:proofErr w:type="spellStart"/>
      <w:r w:rsidRPr="00F3256D">
        <w:rPr>
          <w:rFonts w:ascii="Times New Roman"/>
          <w:sz w:val="28"/>
          <w:szCs w:val="28"/>
        </w:rPr>
        <w:t>Білошицький</w:t>
      </w:r>
      <w:proofErr w:type="spellEnd"/>
      <w:r w:rsidRPr="00F3256D">
        <w:rPr>
          <w:rFonts w:ascii="Times New Roman"/>
          <w:sz w:val="28"/>
          <w:szCs w:val="28"/>
        </w:rPr>
        <w:t xml:space="preserve"> та ін. – К. : КНЕУ, 2015. – 486 с.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proofErr w:type="spellStart"/>
      <w:r w:rsidRPr="00F3256D">
        <w:rPr>
          <w:rFonts w:ascii="Times New Roman"/>
          <w:sz w:val="28"/>
          <w:szCs w:val="28"/>
        </w:rPr>
        <w:t>Polischuk</w:t>
      </w:r>
      <w:proofErr w:type="spellEnd"/>
      <w:r w:rsidRPr="00F3256D">
        <w:rPr>
          <w:rFonts w:ascii="Times New Roman"/>
          <w:sz w:val="28"/>
          <w:szCs w:val="28"/>
        </w:rPr>
        <w:t xml:space="preserve"> Y. </w:t>
      </w:r>
      <w:proofErr w:type="spellStart"/>
      <w:r w:rsidRPr="00F3256D">
        <w:rPr>
          <w:rFonts w:ascii="Times New Roman"/>
          <w:sz w:val="28"/>
          <w:szCs w:val="28"/>
        </w:rPr>
        <w:t>The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experience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investment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regulations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pension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funds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in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Baltic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countries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and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its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applying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in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Ukraine</w:t>
      </w:r>
      <w:proofErr w:type="spellEnd"/>
      <w:r w:rsidRPr="00F3256D">
        <w:rPr>
          <w:rFonts w:ascii="Times New Roman"/>
          <w:sz w:val="28"/>
          <w:szCs w:val="28"/>
        </w:rPr>
        <w:t xml:space="preserve">/ </w:t>
      </w:r>
      <w:proofErr w:type="spellStart"/>
      <w:r w:rsidRPr="00F3256D">
        <w:rPr>
          <w:rFonts w:ascii="Times New Roman"/>
          <w:sz w:val="28"/>
          <w:szCs w:val="28"/>
        </w:rPr>
        <w:t>Polischuk</w:t>
      </w:r>
      <w:proofErr w:type="spellEnd"/>
      <w:r w:rsidRPr="00F3256D">
        <w:rPr>
          <w:rFonts w:ascii="Times New Roman"/>
          <w:sz w:val="28"/>
          <w:szCs w:val="28"/>
        </w:rPr>
        <w:t xml:space="preserve"> Y. // Фінансові механізми забезпечення розвитку економіки України в сучасних умовах. </w:t>
      </w:r>
      <w:proofErr w:type="spellStart"/>
      <w:r w:rsidRPr="00F3256D">
        <w:rPr>
          <w:rFonts w:ascii="Times New Roman"/>
          <w:sz w:val="28"/>
          <w:szCs w:val="28"/>
        </w:rPr>
        <w:t>Зб</w:t>
      </w:r>
      <w:proofErr w:type="spellEnd"/>
      <w:r w:rsidRPr="00F3256D">
        <w:rPr>
          <w:rFonts w:ascii="Times New Roman"/>
          <w:sz w:val="28"/>
          <w:szCs w:val="28"/>
        </w:rPr>
        <w:t xml:space="preserve">. тез </w:t>
      </w:r>
      <w:proofErr w:type="spellStart"/>
      <w:r w:rsidRPr="00F3256D">
        <w:rPr>
          <w:rFonts w:ascii="Times New Roman"/>
          <w:sz w:val="28"/>
          <w:szCs w:val="28"/>
        </w:rPr>
        <w:t>Всеукр</w:t>
      </w:r>
      <w:proofErr w:type="spellEnd"/>
      <w:r w:rsidRPr="00F3256D">
        <w:rPr>
          <w:rFonts w:ascii="Times New Roman"/>
          <w:sz w:val="28"/>
          <w:szCs w:val="28"/>
        </w:rPr>
        <w:t>. наук.-</w:t>
      </w:r>
      <w:proofErr w:type="spellStart"/>
      <w:r w:rsidRPr="00F3256D">
        <w:rPr>
          <w:rFonts w:ascii="Times New Roman"/>
          <w:sz w:val="28"/>
          <w:szCs w:val="28"/>
        </w:rPr>
        <w:t>практ</w:t>
      </w:r>
      <w:proofErr w:type="spellEnd"/>
      <w:r w:rsidRPr="00F3256D">
        <w:rPr>
          <w:rFonts w:ascii="Times New Roman"/>
          <w:sz w:val="28"/>
          <w:szCs w:val="28"/>
        </w:rPr>
        <w:t xml:space="preserve">. </w:t>
      </w:r>
      <w:proofErr w:type="spellStart"/>
      <w:r w:rsidRPr="00F3256D">
        <w:rPr>
          <w:rFonts w:ascii="Times New Roman"/>
          <w:sz w:val="28"/>
          <w:szCs w:val="28"/>
        </w:rPr>
        <w:t>конф</w:t>
      </w:r>
      <w:proofErr w:type="spellEnd"/>
      <w:r w:rsidRPr="00F3256D">
        <w:rPr>
          <w:rFonts w:ascii="Times New Roman"/>
          <w:sz w:val="28"/>
          <w:szCs w:val="28"/>
        </w:rPr>
        <w:t xml:space="preserve">. (15 квіт. 2016 р.). – К.: </w:t>
      </w:r>
      <w:proofErr w:type="spellStart"/>
      <w:r w:rsidRPr="00F3256D">
        <w:rPr>
          <w:rFonts w:ascii="Times New Roman"/>
          <w:sz w:val="28"/>
          <w:szCs w:val="28"/>
        </w:rPr>
        <w:t>Аграр</w:t>
      </w:r>
      <w:proofErr w:type="spellEnd"/>
      <w:r w:rsidRPr="00F3256D">
        <w:rPr>
          <w:rFonts w:ascii="Times New Roman"/>
          <w:sz w:val="28"/>
          <w:szCs w:val="28"/>
        </w:rPr>
        <w:t xml:space="preserve"> Медіа Груп , 2016. – 206-208 с.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r w:rsidRPr="00F3256D">
        <w:rPr>
          <w:rFonts w:ascii="Times New Roman"/>
          <w:sz w:val="28"/>
          <w:szCs w:val="28"/>
        </w:rPr>
        <w:t xml:space="preserve">Нагорна О.В. Альтернативні підходи до  управління активами небанківських фінансових установ та можливості їх використання в </w:t>
      </w:r>
      <w:r w:rsidRPr="00F3256D">
        <w:rPr>
          <w:rFonts w:ascii="Times New Roman"/>
          <w:sz w:val="28"/>
          <w:szCs w:val="28"/>
        </w:rPr>
        <w:lastRenderedPageBreak/>
        <w:t>Україні/ Є.А. Поліщук, О.В. Нагорна // Ринок цінних паперів України - 2015. - №11-12 - с. 9-11.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r w:rsidRPr="00F3256D">
        <w:rPr>
          <w:rFonts w:ascii="Times New Roman"/>
          <w:sz w:val="28"/>
          <w:szCs w:val="28"/>
        </w:rPr>
        <w:t xml:space="preserve">Ю.В. </w:t>
      </w:r>
      <w:proofErr w:type="spellStart"/>
      <w:r w:rsidRPr="00F3256D">
        <w:rPr>
          <w:rFonts w:ascii="Times New Roman"/>
          <w:sz w:val="28"/>
          <w:szCs w:val="28"/>
        </w:rPr>
        <w:t>Василишен</w:t>
      </w:r>
      <w:proofErr w:type="spellEnd"/>
      <w:r w:rsidRPr="00F3256D">
        <w:rPr>
          <w:rFonts w:ascii="Times New Roman"/>
          <w:sz w:val="28"/>
          <w:szCs w:val="28"/>
        </w:rPr>
        <w:t xml:space="preserve"> Ризики як чинники небезпеки інвестиційної діяльності небанківських фінансових установ / О.В. Нагорна, Ю.В. </w:t>
      </w:r>
      <w:proofErr w:type="spellStart"/>
      <w:r w:rsidRPr="00F3256D">
        <w:rPr>
          <w:rFonts w:ascii="Times New Roman"/>
          <w:sz w:val="28"/>
          <w:szCs w:val="28"/>
        </w:rPr>
        <w:t>Василишен</w:t>
      </w:r>
      <w:proofErr w:type="spellEnd"/>
      <w:r w:rsidRPr="00F3256D">
        <w:rPr>
          <w:rFonts w:ascii="Times New Roman"/>
          <w:sz w:val="28"/>
          <w:szCs w:val="28"/>
        </w:rPr>
        <w:t>, Є.А. Поліщук // Ринок цінних паперів. – 2015. - №9-10. – С. 44-55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Calibri"/>
          <w:sz w:val="28"/>
          <w:szCs w:val="28"/>
          <w:lang w:eastAsia="en-US"/>
        </w:rPr>
      </w:pPr>
      <w:r w:rsidRPr="00F3256D">
        <w:rPr>
          <w:rFonts w:ascii="Times New Roman" w:eastAsia="Calibri"/>
          <w:sz w:val="28"/>
          <w:szCs w:val="28"/>
          <w:lang w:eastAsia="en-US"/>
        </w:rPr>
        <w:t xml:space="preserve">Зимовець В. В. Акумуляція фінансових ресурсів та економічний розвиток (монографія) / </w:t>
      </w:r>
      <w:proofErr w:type="spellStart"/>
      <w:r w:rsidRPr="00F3256D">
        <w:rPr>
          <w:rFonts w:ascii="Times New Roman" w:eastAsia="Calibri"/>
          <w:sz w:val="28"/>
          <w:szCs w:val="28"/>
          <w:lang w:eastAsia="en-US"/>
        </w:rPr>
        <w:t>Відпов</w:t>
      </w:r>
      <w:proofErr w:type="spellEnd"/>
      <w:r w:rsidRPr="00F3256D">
        <w:rPr>
          <w:rFonts w:ascii="Times New Roman" w:eastAsia="Calibri"/>
          <w:sz w:val="28"/>
          <w:szCs w:val="28"/>
          <w:lang w:eastAsia="en-US"/>
        </w:rPr>
        <w:t xml:space="preserve">. ред. </w:t>
      </w:r>
      <w:proofErr w:type="spellStart"/>
      <w:r w:rsidRPr="00F3256D">
        <w:rPr>
          <w:rFonts w:ascii="Times New Roman" w:eastAsia="Calibri"/>
          <w:sz w:val="28"/>
          <w:szCs w:val="28"/>
          <w:lang w:eastAsia="en-US"/>
        </w:rPr>
        <w:t>д.е.н</w:t>
      </w:r>
      <w:proofErr w:type="spellEnd"/>
      <w:r w:rsidRPr="00F3256D">
        <w:rPr>
          <w:rFonts w:ascii="Times New Roman" w:eastAsia="Calibri"/>
          <w:sz w:val="28"/>
          <w:szCs w:val="28"/>
          <w:lang w:eastAsia="en-US"/>
        </w:rPr>
        <w:t>., проф. В. І. Кононенко. – К. : Ін-т економіки НАНУ, 2003. – 314 с.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proofErr w:type="spellStart"/>
      <w:r w:rsidRPr="00F3256D">
        <w:rPr>
          <w:rFonts w:ascii="Times New Roman" w:eastAsia="Calibri"/>
          <w:sz w:val="28"/>
          <w:szCs w:val="28"/>
          <w:lang w:eastAsia="en-US"/>
        </w:rPr>
        <w:t>Корнєєв</w:t>
      </w:r>
      <w:proofErr w:type="spellEnd"/>
      <w:r w:rsidRPr="00F3256D">
        <w:rPr>
          <w:rFonts w:ascii="Times New Roman" w:eastAsia="Calibri"/>
          <w:sz w:val="28"/>
          <w:szCs w:val="28"/>
          <w:lang w:eastAsia="en-US"/>
        </w:rPr>
        <w:t xml:space="preserve"> В. В. Використання довгострокових фінансових інструментів на ринку капіталу України / В. В. </w:t>
      </w:r>
      <w:proofErr w:type="spellStart"/>
      <w:r w:rsidRPr="00F3256D">
        <w:rPr>
          <w:rFonts w:ascii="Times New Roman" w:eastAsia="Calibri"/>
          <w:sz w:val="28"/>
          <w:szCs w:val="28"/>
          <w:lang w:eastAsia="en-US"/>
        </w:rPr>
        <w:t>Корнєєв</w:t>
      </w:r>
      <w:proofErr w:type="spellEnd"/>
      <w:r w:rsidRPr="00F3256D">
        <w:rPr>
          <w:rFonts w:ascii="Times New Roman" w:eastAsia="Calibri"/>
          <w:sz w:val="28"/>
          <w:szCs w:val="28"/>
          <w:lang w:eastAsia="en-US"/>
        </w:rPr>
        <w:t xml:space="preserve"> // Економічний вісник Донбасу. – 2012. – № 1. – C. 116–121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r w:rsidRPr="00F3256D">
        <w:rPr>
          <w:rFonts w:ascii="Times New Roman"/>
          <w:sz w:val="28"/>
          <w:szCs w:val="28"/>
        </w:rPr>
        <w:t>Свириденко О.О. Обмеження інвестиційної діяльності небанківських фінансових установ /Свириденко О.О, Диба О.М., Є.А. Поліщук // Збірник НДФІ. – 2015.  - №4 (73). – С. 52-60</w:t>
      </w:r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proofErr w:type="spellStart"/>
      <w:r w:rsidRPr="00F3256D">
        <w:rPr>
          <w:rFonts w:ascii="Times New Roman"/>
          <w:sz w:val="28"/>
          <w:szCs w:val="28"/>
        </w:rPr>
        <w:t>Official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site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Wilmington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Publishing</w:t>
      </w:r>
      <w:proofErr w:type="spellEnd"/>
      <w:r w:rsidRPr="00F3256D">
        <w:rPr>
          <w:rFonts w:ascii="Times New Roman"/>
          <w:sz w:val="28"/>
          <w:szCs w:val="28"/>
        </w:rPr>
        <w:t xml:space="preserve"> &amp; </w:t>
      </w:r>
      <w:proofErr w:type="spellStart"/>
      <w:r w:rsidRPr="00F3256D">
        <w:rPr>
          <w:rFonts w:ascii="Times New Roman"/>
          <w:sz w:val="28"/>
          <w:szCs w:val="28"/>
        </w:rPr>
        <w:t>Information</w:t>
      </w:r>
      <w:proofErr w:type="spellEnd"/>
      <w:r w:rsidRPr="00F3256D">
        <w:rPr>
          <w:rFonts w:ascii="Times New Roman"/>
          <w:sz w:val="28"/>
          <w:szCs w:val="28"/>
        </w:rPr>
        <w:t>.  [</w:t>
      </w:r>
      <w:proofErr w:type="spellStart"/>
      <w:r w:rsidRPr="00F3256D">
        <w:rPr>
          <w:rFonts w:ascii="Times New Roman"/>
          <w:sz w:val="28"/>
          <w:szCs w:val="28"/>
        </w:rPr>
        <w:t>Digital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resource</w:t>
      </w:r>
      <w:proofErr w:type="spellEnd"/>
      <w:r w:rsidRPr="00F3256D">
        <w:rPr>
          <w:rFonts w:ascii="Times New Roman"/>
          <w:sz w:val="28"/>
          <w:szCs w:val="28"/>
        </w:rPr>
        <w:t xml:space="preserve">]. – </w:t>
      </w:r>
      <w:proofErr w:type="spellStart"/>
      <w:r w:rsidRPr="00F3256D">
        <w:rPr>
          <w:rFonts w:ascii="Times New Roman"/>
          <w:sz w:val="28"/>
          <w:szCs w:val="28"/>
        </w:rPr>
        <w:t>Regime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access</w:t>
      </w:r>
      <w:proofErr w:type="spellEnd"/>
      <w:r w:rsidRPr="00F3256D">
        <w:rPr>
          <w:rFonts w:ascii="Times New Roman"/>
          <w:sz w:val="28"/>
          <w:szCs w:val="28"/>
        </w:rPr>
        <w:t xml:space="preserve">:  </w:t>
      </w:r>
      <w:hyperlink r:id="rId8" w:history="1">
        <w:r w:rsidRPr="00F3256D">
          <w:rPr>
            <w:rFonts w:ascii="Times New Roman"/>
            <w:sz w:val="28"/>
            <w:szCs w:val="28"/>
          </w:rPr>
          <w:t>http://www.pensionfundsonline.co.uk</w:t>
        </w:r>
      </w:hyperlink>
    </w:p>
    <w:p w:rsidR="00C160D6" w:rsidRP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proofErr w:type="spellStart"/>
      <w:r w:rsidRPr="00F3256D">
        <w:rPr>
          <w:rFonts w:ascii="Times New Roman"/>
          <w:sz w:val="28"/>
          <w:szCs w:val="28"/>
        </w:rPr>
        <w:t>Official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site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r w:rsidRPr="00F3256D">
        <w:rPr>
          <w:rFonts w:ascii="Times New Roman"/>
          <w:sz w:val="28"/>
          <w:szCs w:val="28"/>
        </w:rPr>
        <w:t xml:space="preserve">Financial Times. </w:t>
      </w:r>
      <w:proofErr w:type="spellStart"/>
      <w:r w:rsidRPr="00F3256D">
        <w:rPr>
          <w:rFonts w:ascii="Times New Roman"/>
          <w:sz w:val="28"/>
          <w:szCs w:val="28"/>
        </w:rPr>
        <w:t>Pension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funds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crave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more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infrastructure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projects</w:t>
      </w:r>
      <w:proofErr w:type="spellEnd"/>
      <w:r w:rsidRPr="00F3256D">
        <w:rPr>
          <w:rFonts w:ascii="Times New Roman"/>
          <w:sz w:val="28"/>
          <w:szCs w:val="28"/>
        </w:rPr>
        <w:t xml:space="preserve">. </w:t>
      </w:r>
      <w:r w:rsidRPr="00F3256D">
        <w:rPr>
          <w:rFonts w:ascii="Times New Roman"/>
          <w:sz w:val="28"/>
          <w:szCs w:val="28"/>
        </w:rPr>
        <w:t>[</w:t>
      </w:r>
      <w:proofErr w:type="spellStart"/>
      <w:r w:rsidRPr="00F3256D">
        <w:rPr>
          <w:rFonts w:ascii="Times New Roman"/>
          <w:sz w:val="28"/>
          <w:szCs w:val="28"/>
        </w:rPr>
        <w:t>Digital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resource</w:t>
      </w:r>
      <w:proofErr w:type="spellEnd"/>
      <w:r w:rsidRPr="00F3256D">
        <w:rPr>
          <w:rFonts w:ascii="Times New Roman"/>
          <w:sz w:val="28"/>
          <w:szCs w:val="28"/>
        </w:rPr>
        <w:t xml:space="preserve">]. – </w:t>
      </w:r>
      <w:proofErr w:type="spellStart"/>
      <w:r w:rsidRPr="00F3256D">
        <w:rPr>
          <w:rFonts w:ascii="Times New Roman"/>
          <w:sz w:val="28"/>
          <w:szCs w:val="28"/>
        </w:rPr>
        <w:t>Regime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access</w:t>
      </w:r>
      <w:proofErr w:type="spellEnd"/>
      <w:r w:rsidRPr="00F3256D">
        <w:rPr>
          <w:rFonts w:ascii="Times New Roman"/>
          <w:sz w:val="28"/>
          <w:szCs w:val="28"/>
        </w:rPr>
        <w:t>:</w:t>
      </w:r>
      <w:r w:rsidRPr="00F3256D">
        <w:rPr>
          <w:rFonts w:ascii="Times New Roman"/>
          <w:sz w:val="28"/>
          <w:szCs w:val="28"/>
        </w:rPr>
        <w:t xml:space="preserve"> </w:t>
      </w:r>
      <w:hyperlink r:id="rId9" w:history="1">
        <w:r w:rsidRPr="00F3256D">
          <w:rPr>
            <w:rStyle w:val="a7"/>
            <w:rFonts w:ascii="Times New Roman"/>
            <w:sz w:val="28"/>
            <w:szCs w:val="28"/>
          </w:rPr>
          <w:t>https://www.ft.com/content/a05fe960-95ec-11e6-a1dc-bdf38d484582</w:t>
        </w:r>
      </w:hyperlink>
    </w:p>
    <w:p w:rsidR="00F3256D" w:rsidRDefault="00C160D6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r w:rsidRPr="00F3256D">
        <w:rPr>
          <w:rFonts w:ascii="Times New Roman"/>
          <w:sz w:val="28"/>
          <w:szCs w:val="28"/>
          <w:lang w:val="en-US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Official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site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r w:rsidRPr="00F3256D">
        <w:rPr>
          <w:rFonts w:ascii="Times New Roman"/>
          <w:i/>
          <w:sz w:val="28"/>
          <w:szCs w:val="28"/>
        </w:rPr>
        <w:t xml:space="preserve">OECD – </w:t>
      </w:r>
      <w:proofErr w:type="spellStart"/>
      <w:r w:rsidRPr="00F3256D">
        <w:rPr>
          <w:rFonts w:ascii="Times New Roman"/>
          <w:i/>
          <w:sz w:val="28"/>
          <w:szCs w:val="28"/>
        </w:rPr>
        <w:t>Survey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of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Investment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Regulations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of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Pension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i/>
          <w:sz w:val="28"/>
          <w:szCs w:val="28"/>
        </w:rPr>
        <w:t>Funds</w:t>
      </w:r>
      <w:proofErr w:type="spellEnd"/>
      <w:r w:rsidRPr="00F3256D">
        <w:rPr>
          <w:rFonts w:ascii="Times New Roman"/>
          <w:i/>
          <w:sz w:val="28"/>
          <w:szCs w:val="28"/>
        </w:rPr>
        <w:t xml:space="preserve"> 2010.</w:t>
      </w:r>
      <w:r w:rsidRPr="00F3256D">
        <w:rPr>
          <w:rFonts w:ascii="Times New Roman"/>
          <w:i/>
          <w:sz w:val="28"/>
          <w:szCs w:val="28"/>
          <w:lang w:val="en-US"/>
        </w:rPr>
        <w:t xml:space="preserve"> </w:t>
      </w:r>
      <w:r w:rsidRPr="00F3256D">
        <w:rPr>
          <w:rFonts w:ascii="Times New Roman"/>
          <w:sz w:val="28"/>
          <w:szCs w:val="28"/>
        </w:rPr>
        <w:t>[</w:t>
      </w:r>
      <w:proofErr w:type="spellStart"/>
      <w:r w:rsidRPr="00F3256D">
        <w:rPr>
          <w:rFonts w:ascii="Times New Roman"/>
          <w:sz w:val="28"/>
          <w:szCs w:val="28"/>
        </w:rPr>
        <w:t>Digital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resource</w:t>
      </w:r>
      <w:proofErr w:type="spellEnd"/>
      <w:r w:rsidRPr="00F3256D">
        <w:rPr>
          <w:rFonts w:ascii="Times New Roman"/>
          <w:sz w:val="28"/>
          <w:szCs w:val="28"/>
        </w:rPr>
        <w:t xml:space="preserve">]. – </w:t>
      </w:r>
      <w:proofErr w:type="spellStart"/>
      <w:r w:rsidRPr="00F3256D">
        <w:rPr>
          <w:rFonts w:ascii="Times New Roman"/>
          <w:sz w:val="28"/>
          <w:szCs w:val="28"/>
        </w:rPr>
        <w:t>Regime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access</w:t>
      </w:r>
      <w:proofErr w:type="spellEnd"/>
      <w:r w:rsidRPr="00F3256D">
        <w:rPr>
          <w:rFonts w:ascii="Times New Roman"/>
          <w:sz w:val="28"/>
          <w:szCs w:val="28"/>
        </w:rPr>
        <w:t xml:space="preserve">: </w:t>
      </w:r>
      <w:hyperlink r:id="rId10" w:history="1">
        <w:r w:rsidR="00F3256D" w:rsidRPr="007C7013">
          <w:rPr>
            <w:rStyle w:val="a7"/>
            <w:rFonts w:ascii="Times New Roman"/>
            <w:sz w:val="28"/>
            <w:szCs w:val="28"/>
            <w:lang w:val="en-US"/>
          </w:rPr>
          <w:t>http://www.oecd.org/futures/infrastructureto2030/48634596.pdf</w:t>
        </w:r>
      </w:hyperlink>
    </w:p>
    <w:p w:rsidR="00F3256D" w:rsidRPr="00F3256D" w:rsidRDefault="00F3256D" w:rsidP="00F3256D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/>
          <w:sz w:val="28"/>
          <w:szCs w:val="28"/>
        </w:rPr>
      </w:pPr>
      <w:proofErr w:type="spellStart"/>
      <w:r w:rsidRPr="00F3256D">
        <w:rPr>
          <w:rFonts w:ascii="Times New Roman"/>
          <w:sz w:val="28"/>
          <w:szCs w:val="28"/>
        </w:rPr>
        <w:t>Official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site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Preqin</w:t>
      </w:r>
      <w:proofErr w:type="spellEnd"/>
      <w:r w:rsidRPr="00F3256D">
        <w:rPr>
          <w:rFonts w:ascii="Times New Roman"/>
          <w:sz w:val="28"/>
          <w:szCs w:val="28"/>
          <w:lang w:val="en-US"/>
        </w:rPr>
        <w:t xml:space="preserve">. </w:t>
      </w:r>
      <w:r w:rsidRPr="00F3256D">
        <w:rPr>
          <w:rFonts w:ascii="Times New Roman"/>
          <w:sz w:val="28"/>
          <w:szCs w:val="28"/>
        </w:rPr>
        <w:t>[</w:t>
      </w:r>
      <w:proofErr w:type="spellStart"/>
      <w:r w:rsidRPr="00F3256D">
        <w:rPr>
          <w:rFonts w:ascii="Times New Roman"/>
          <w:sz w:val="28"/>
          <w:szCs w:val="28"/>
        </w:rPr>
        <w:t>Digital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resource</w:t>
      </w:r>
      <w:proofErr w:type="spellEnd"/>
      <w:r w:rsidRPr="00F3256D">
        <w:rPr>
          <w:rFonts w:ascii="Times New Roman"/>
          <w:sz w:val="28"/>
          <w:szCs w:val="28"/>
        </w:rPr>
        <w:t xml:space="preserve">]. – </w:t>
      </w:r>
      <w:proofErr w:type="spellStart"/>
      <w:r w:rsidRPr="00F3256D">
        <w:rPr>
          <w:rFonts w:ascii="Times New Roman"/>
          <w:sz w:val="28"/>
          <w:szCs w:val="28"/>
        </w:rPr>
        <w:t>Regime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of</w:t>
      </w:r>
      <w:proofErr w:type="spellEnd"/>
      <w:r w:rsidRPr="00F3256D">
        <w:rPr>
          <w:rFonts w:ascii="Times New Roman"/>
          <w:sz w:val="28"/>
          <w:szCs w:val="28"/>
        </w:rPr>
        <w:t xml:space="preserve"> </w:t>
      </w:r>
      <w:proofErr w:type="spellStart"/>
      <w:r w:rsidRPr="00F3256D">
        <w:rPr>
          <w:rFonts w:ascii="Times New Roman"/>
          <w:sz w:val="28"/>
          <w:szCs w:val="28"/>
        </w:rPr>
        <w:t>access</w:t>
      </w:r>
      <w:proofErr w:type="spellEnd"/>
      <w:r w:rsidRPr="00F3256D">
        <w:rPr>
          <w:rFonts w:ascii="Times New Roman"/>
          <w:sz w:val="28"/>
          <w:szCs w:val="28"/>
        </w:rPr>
        <w:t>:</w:t>
      </w:r>
      <w:r w:rsidRPr="00F3256D">
        <w:rPr>
          <w:rFonts w:ascii="Times New Roman"/>
          <w:sz w:val="28"/>
          <w:szCs w:val="28"/>
          <w:lang w:val="en-US"/>
        </w:rPr>
        <w:t xml:space="preserve"> https://www.preqin.com</w:t>
      </w:r>
    </w:p>
    <w:p w:rsidR="00C160D6" w:rsidRPr="00620880" w:rsidRDefault="00C160D6" w:rsidP="00C160D6">
      <w:pPr>
        <w:pStyle w:val="a4"/>
        <w:spacing w:line="360" w:lineRule="auto"/>
        <w:ind w:left="720"/>
        <w:jc w:val="both"/>
        <w:rPr>
          <w:sz w:val="28"/>
          <w:szCs w:val="28"/>
        </w:rPr>
      </w:pPr>
    </w:p>
    <w:p w:rsidR="00C160D6" w:rsidRDefault="00C160D6" w:rsidP="00C160D6"/>
    <w:p w:rsidR="00C160D6" w:rsidRPr="004623ED" w:rsidRDefault="00C160D6" w:rsidP="007D1F6E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</w:p>
    <w:p w:rsidR="004623ED" w:rsidRPr="00D84D22" w:rsidRDefault="004623ED" w:rsidP="004623ED">
      <w:pPr>
        <w:spacing w:after="0" w:line="360" w:lineRule="auto"/>
        <w:ind w:firstLine="709"/>
        <w:jc w:val="both"/>
        <w:rPr>
          <w:rFonts w:ascii="Times New Roman"/>
          <w:sz w:val="28"/>
          <w:szCs w:val="28"/>
        </w:rPr>
      </w:pPr>
    </w:p>
    <w:sectPr w:rsidR="004623ED" w:rsidRPr="00D84D22" w:rsidSect="00BE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FD" w:rsidRDefault="00A611FD" w:rsidP="006E3A75">
      <w:pPr>
        <w:spacing w:after="0" w:line="240" w:lineRule="auto"/>
      </w:pPr>
      <w:r>
        <w:separator/>
      </w:r>
    </w:p>
  </w:endnote>
  <w:endnote w:type="continuationSeparator" w:id="0">
    <w:p w:rsidR="00A611FD" w:rsidRDefault="00A611FD" w:rsidP="006E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Yu Gothic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FD" w:rsidRDefault="00A611FD" w:rsidP="006E3A75">
      <w:pPr>
        <w:spacing w:after="0" w:line="240" w:lineRule="auto"/>
      </w:pPr>
      <w:r>
        <w:separator/>
      </w:r>
    </w:p>
  </w:footnote>
  <w:footnote w:type="continuationSeparator" w:id="0">
    <w:p w:rsidR="00A611FD" w:rsidRDefault="00A611FD" w:rsidP="006E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929A3"/>
    <w:multiLevelType w:val="hybridMultilevel"/>
    <w:tmpl w:val="2592C7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2"/>
    <w:rsid w:val="00031CEA"/>
    <w:rsid w:val="00036BCD"/>
    <w:rsid w:val="00057EE5"/>
    <w:rsid w:val="0011593B"/>
    <w:rsid w:val="00311139"/>
    <w:rsid w:val="00367502"/>
    <w:rsid w:val="004623ED"/>
    <w:rsid w:val="004B5AE2"/>
    <w:rsid w:val="004F1CBE"/>
    <w:rsid w:val="005A3835"/>
    <w:rsid w:val="006D4D1C"/>
    <w:rsid w:val="006E3A75"/>
    <w:rsid w:val="00720CBF"/>
    <w:rsid w:val="007D1F6E"/>
    <w:rsid w:val="00872941"/>
    <w:rsid w:val="008B57D7"/>
    <w:rsid w:val="009138E5"/>
    <w:rsid w:val="009514D1"/>
    <w:rsid w:val="00997D98"/>
    <w:rsid w:val="00A209BB"/>
    <w:rsid w:val="00A611FD"/>
    <w:rsid w:val="00B144FB"/>
    <w:rsid w:val="00B63AB1"/>
    <w:rsid w:val="00BE5704"/>
    <w:rsid w:val="00C160D6"/>
    <w:rsid w:val="00D34681"/>
    <w:rsid w:val="00D84D22"/>
    <w:rsid w:val="00DD620D"/>
    <w:rsid w:val="00DF0982"/>
    <w:rsid w:val="00E94E46"/>
    <w:rsid w:val="00F04390"/>
    <w:rsid w:val="00F3256D"/>
    <w:rsid w:val="00F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FD7B"/>
  <w15:chartTrackingRefBased/>
  <w15:docId w15:val="{62D5B1F8-31F1-45D2-A392-DDE3068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0D6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6E3A75"/>
    <w:pPr>
      <w:spacing w:after="0" w:line="240" w:lineRule="auto"/>
    </w:pPr>
    <w:rPr>
      <w:sz w:val="20"/>
      <w:szCs w:val="20"/>
    </w:rPr>
  </w:style>
  <w:style w:type="character" w:customStyle="1" w:styleId="a5">
    <w:name w:val="Текст кінцевої виноски Знак"/>
    <w:basedOn w:val="a0"/>
    <w:link w:val="a4"/>
    <w:uiPriority w:val="99"/>
    <w:rsid w:val="006E3A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E3A75"/>
    <w:rPr>
      <w:vertAlign w:val="superscript"/>
    </w:rPr>
  </w:style>
  <w:style w:type="character" w:customStyle="1" w:styleId="apple-converted-space">
    <w:name w:val="apple-converted-space"/>
    <w:basedOn w:val="a0"/>
    <w:rsid w:val="008B57D7"/>
  </w:style>
  <w:style w:type="character" w:styleId="a7">
    <w:name w:val="Hyperlink"/>
    <w:basedOn w:val="a0"/>
    <w:uiPriority w:val="99"/>
    <w:unhideWhenUsed/>
    <w:rsid w:val="00C160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60D6"/>
    <w:rPr>
      <w:rFonts w:ascii="Times New Roman"/>
      <w:b/>
      <w:bCs/>
      <w:kern w:val="36"/>
      <w:sz w:val="48"/>
      <w:szCs w:val="48"/>
    </w:rPr>
  </w:style>
  <w:style w:type="character" w:customStyle="1" w:styleId="article-classifiergap">
    <w:name w:val="article-classifier__gap"/>
    <w:basedOn w:val="a0"/>
    <w:rsid w:val="00C160D6"/>
  </w:style>
  <w:style w:type="paragraph" w:styleId="a8">
    <w:name w:val="List Paragraph"/>
    <w:basedOn w:val="a"/>
    <w:uiPriority w:val="34"/>
    <w:qFormat/>
    <w:rsid w:val="00C1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fundsonlin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ecd.org/futures/infrastructureto2030/486345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t.com/content/a05fe960-95ec-11e6-a1dc-bdf38d484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F5C6-80B6-449A-81E3-FD7A331E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12</Pages>
  <Words>13399</Words>
  <Characters>7638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Евгения</dc:creator>
  <cp:keywords/>
  <dc:description/>
  <cp:lastModifiedBy>Полищук Евгения</cp:lastModifiedBy>
  <cp:revision>1</cp:revision>
  <dcterms:created xsi:type="dcterms:W3CDTF">2017-01-15T18:37:00Z</dcterms:created>
  <dcterms:modified xsi:type="dcterms:W3CDTF">2017-01-16T22:43:00Z</dcterms:modified>
</cp:coreProperties>
</file>