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C" w:rsidRPr="005959EC" w:rsidRDefault="005959EC" w:rsidP="0059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УДК 331.101.262             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Яцке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вич  І.В.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5959EC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uk-UA" w:eastAsia="ru-RU"/>
        </w:rPr>
        <w:t>РОЛЬ СОЦІАЛЬНОЇ ВІДПОВІДАЛЬНОСТІ ДЛЯ  УЧАСНИКІВ-ПАРТНЕРІВ АЛЬЯНСОВИХ ВІДНОСИН У ГАЛУЗІ ЗВ’ЯЗКУ ТА ІНФОРМАТИЗАЦІЇ</w:t>
      </w:r>
    </w:p>
    <w:bookmarkEnd w:id="0"/>
    <w:p w:rsidR="005959EC" w:rsidRPr="005959EC" w:rsidRDefault="005959EC" w:rsidP="005959E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  </w:t>
      </w:r>
    </w:p>
    <w:p w:rsidR="005959EC" w:rsidRPr="005959EC" w:rsidRDefault="005959EC" w:rsidP="005959E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У статті досліджується сутність та значення соціальної відповідальності 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для  учасників-партн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ерів 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відносин 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у  галу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зі зв’язку та інформатизації. Визначено, що соціальна відповідальність учасників-партнерів альянсу галузі зв’язку та інформатизації – це учасники-партнери альянсу які здійснюють діяльність згідно до правових та етичних норм ведення підприємницької діяльності, будуючи свої відносини з партнерами на принципах дотримання професійних стандартів діяльності, фінансової відповідальності тощо з метою задоволення реальних потреб в галузі зв’язку та інформатизації відповідно до завдань соціального розвитку держави. Виявлено інтереси та основні напрями взаємодії між учасниками-партнерами 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відносин у галузі зв’язку та інформатизації.</w:t>
      </w:r>
    </w:p>
    <w:p w:rsidR="005959EC" w:rsidRPr="005959EC" w:rsidRDefault="005959EC" w:rsidP="005959E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Ключові слова:</w:t>
      </w: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альянсові відносини,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місцевий орган</w:t>
      </w:r>
    </w:p>
    <w:p w:rsidR="005959EC" w:rsidRPr="005959EC" w:rsidRDefault="005959EC" w:rsidP="005959E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самоврядування, суспільство, працівники підприємства, соціальна відповідальність,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учасники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-</w:t>
      </w: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5959EC" w:rsidRPr="005959EC" w:rsidRDefault="005959EC" w:rsidP="005959E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партнери альянсових відносин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в галузі зв'язку та інформатизації.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ВСТУП</w:t>
      </w:r>
      <w:bookmarkStart w:id="1" w:name="_ftnref1"/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begin"/>
      </w: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instrText xml:space="preserve"> HYPERLINK "file:///C:\\Documents%20and%20Settings\\Admin\\%D0%A0%D0%B0%D0%B1%D0%BE%D1%87%D0%B8%D0%B9%20%D1%81%D1%82%D0%BE%D0%BB\\visnyk_1(38)\\statti\\66.htm" \l "_ftn1" \o "" </w:instrText>
      </w: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separate"/>
      </w:r>
      <w:r w:rsidRPr="005959EC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u w:val="single"/>
          <w:vertAlign w:val="superscript"/>
          <w:lang w:val="uk-UA" w:eastAsia="ru-RU"/>
        </w:rPr>
        <w:t>[1]</w:t>
      </w: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end"/>
      </w:r>
      <w:bookmarkEnd w:id="1"/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Соціальна відповідальність підприємств – це добровільний обов'язок підприємств проводити таку політику, ухвалювати такі рішення і слідувати таким напрямам діяльності, які бажані з погляду цілей і цінностей суспільства відповідно до задач державного розвитку. Тобто,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це  взаємовіднос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ини між суб’єктами господарювання, споживачами і владою, мета якого – сприяти благу та задовольняти потреби всього суспільства.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Питання соціальної відповідальності підприємств досліджувались такими вченими-економістами як Д.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М. </w:t>
      </w:r>
      <w:hyperlink r:id="rId5" w:history="1">
        <w:r w:rsidRPr="005959EC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Клепи</w:t>
        </w:r>
        <w:proofErr w:type="spellEnd"/>
        <w:r w:rsidRPr="005959EC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ков, </w:t>
        </w:r>
      </w:hyperlink>
      <w:hyperlink r:id="rId6" w:history="1">
        <w:r w:rsidRPr="005959EC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А. В. </w:t>
        </w:r>
        <w:proofErr w:type="spellStart"/>
        <w:r w:rsidRPr="005959EC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Безгодов</w:t>
        </w:r>
        <w:proofErr w:type="spellEnd"/>
      </w:hyperlink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 </w:t>
      </w:r>
      <w:hyperlink r:id="rId7" w:history="1">
        <w:r w:rsidRPr="005959EC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Д. П. Гавра</w:t>
        </w:r>
      </w:hyperlink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та ін. [1 … 5, 15]. Проте, дане питання не розглядалось в залежності від взаємодії суб’єктів господарювання, що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сприяє  под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альшому дослідженню.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Метою статті є дослідження сутності та значення соціальної відповідальності для учасників-партнерів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відносин у галузі зв’язку та інформатизації й визначення її ролі для даних відносин.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РЕЗУЛЬТАТИ ДОСЛІДЖЕННЯ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Галузь зв’язку та інформатизації як галузь господарства складається з підприємств, ліній і вузлів, які забезпечують процес передачі інформації на відстань. Сучасні інформаційні і телекомунікаційні технології істотно змінюють не тільки те, як ми виробляємо продукти і послуги, але і те, як проводимо дозвілля, реалізуємо свої цивільні права, виховуємо дітей. Вони мають вирішальний вплив на зміни, які відбуваються в соціальній структурі суспільства, економіці, розвитку інститутів демократії тощо.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Соціальна відповідальність підприємств зв’язку та інформатизації є не тільки задоволення споживачів послугами (роботами, продукцією) по таким затвердженим критеріям як доступність, достовірність, своєчасність та якість надання послуг. Однак, з розвитком науково-технічного прогресу, виникають нові вимоги до соціальної відповідальності підприємств зв’язку та інформатизації – це зобов'язання перед своїми працівниками, споживачами послугами (роботами, продукцією), партнерами та державою.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Таким чином зазначимо, що </w:t>
      </w: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соціально </w:t>
      </w:r>
      <w:proofErr w:type="spellStart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відповідальна складова учасн</w:t>
      </w:r>
      <w:proofErr w:type="spellEnd"/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иків-партнерів альянсу галузі зв’язку та інформатизації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(СВАЗ)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– учасники-партнери альянсу які здійснюють діяльність згідно до правових та етичних норм ведення підприємницької діяльності, будуючи свої відносини з партнерами на принципах дотримання професійних стандартів діяльності, фінансової відповідальності тощо з метою задоволення реальних потреб в галузі зв’язку та інформатизації відповідно до завдань соціального розвитку держави. СВАЗ добровільний обов'язок учасника-партнера альянсу проводити таку політику, приймати такі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рішення і слідувати таким 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напрямам діяльності, які бажані з погляду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цілей і цінностей суспі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льства.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СВАЗ ґрунтується на тому, що раціональні економічні інтереси орієнтують дані взаємовідносини не тільки на отримання максимального прибутку кожного учасника-партнера альянсу, але і на отриманні «загального» прибутку альянсу і на поліпшення власного «середовища існування» – соціальної, екологічної, політичної, шляхом взаємодії з державними органами при добровільному інвестуванні у розвиток галузі зв’язку та інформатизації.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Слід зазначити, що чим вище рівень розвитку суспільства, тим суворіші критерії до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визн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ачення СВАЗ. Під впливом зовнішніх факторів учасники-партнери альянсу галузі зв’язку та 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інформатизації (УПАЗ) змушені ставати інформаційно-прозорими і соціально відповідальними. Як показують дослідження [1, 13, 14], це дає значну перевагу у поліпшенні фінансових показників. Дана залежність сприяє в політиці підприємств зв’язку та інформатизації формуванню окремого напряму діяльності – «соціальна відповідальність».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Останнім часом на сайтах великих підприємств зв’язку та інформатизації можна зустріти підзаголовок «соціальна відповідальність». У табл. 1 надано приклади основних напрямів (програм) деяких великих підприємств щодо їхньої соціальної відповідальності [6 … 9].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Та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блиця  1. Соціальна відповідальність підприємств зв’язку та інформатизації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520"/>
      </w:tblGrid>
      <w:tr w:rsidR="005959EC" w:rsidRPr="005959EC" w:rsidTr="005959EC">
        <w:trPr>
          <w:jc w:val="center"/>
        </w:trPr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Напрямок</w:t>
            </w:r>
          </w:p>
        </w:tc>
      </w:tr>
      <w:tr w:rsidR="005959EC" w:rsidRPr="005959EC" w:rsidTr="005959EC">
        <w:trPr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«Укртелеком»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поділяє  с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оціально незахищеним верствам населення країни: інвестуємо кошти в телекомунікаційні послуги для жителів українських сіл, розширює спектр послуг для абонентів, що мешкають у віддалених районах, для інвалідів, учасників війни, ліквідаторів аварії на ЧАЕС.</w:t>
            </w:r>
          </w:p>
        </w:tc>
      </w:tr>
      <w:tr w:rsidR="005959EC" w:rsidRPr="005959EC" w:rsidTr="005959EC">
        <w:trPr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Совместное предприятие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СП</w:t>
              </w:r>
            </w:hyperlink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ООО «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Cdma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Ukraine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направлена на те, щоб об'єднувати людей, допомогти їм зрозуміти один одного і за допомогою сучасних послуг зв'язку вирішувати всі насущні питання особистого і ділового життя та надає підтримку культурним, спортивним і добродійним заходам усередині країни і за її межами.</w:t>
            </w:r>
          </w:p>
        </w:tc>
      </w:tr>
      <w:tr w:rsidR="005959EC" w:rsidRPr="005959EC" w:rsidTr="005959EC">
        <w:trPr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Київстар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Дж.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Ес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Ем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.»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EC" w:rsidRPr="005959EC" w:rsidRDefault="005959EC" w:rsidP="005959EC">
            <w:pPr>
              <w:shd w:val="clear" w:color="auto" w:fill="FFFFFF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Відповідальність перед клієнтами для нас означає: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клієнтам телекомунікаційних послуг кращої якості;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сувора відповідність усім державним технічним стандартам, які регулюють діяльність у сфері мобільного зв’язку;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споживачам повної й достовірної інформації про продукти й послуги підприємства;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сприяння тому, щоб телекомунікаційні продукти й послуги використовувалися в суспільстві коректно й правильно, поліпшували життя людей;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постійний актуальний діалог із суспільством.</w:t>
            </w:r>
          </w:p>
        </w:tc>
      </w:tr>
      <w:tr w:rsidR="005959EC" w:rsidRPr="005959EC" w:rsidTr="005959EC">
        <w:trPr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Panda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Security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усвідомленні та підтримки виконання проектів, які вносять вклад у безпечне використання нових технологій і просування універсального й рівноправного доступу до Інформаційного спільноті.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Основними напрямами є: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зайнятість;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 до нових технологій;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освіта;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гуманітарна допомога;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спорт;</w:t>
            </w:r>
          </w:p>
          <w:p w:rsidR="005959EC" w:rsidRPr="005959EC" w:rsidRDefault="005959EC" w:rsidP="005959EC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EC">
              <w:rPr>
                <w:rFonts w:ascii="Symbol" w:eastAsia="Times New Roman" w:hAnsi="Symbol" w:cs="Times New Roman"/>
                <w:sz w:val="20"/>
                <w:szCs w:val="20"/>
                <w:lang w:val="uk-UA" w:eastAsia="ru-RU"/>
              </w:rPr>
              <w:t>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навколишнє середовище.</w:t>
            </w:r>
          </w:p>
        </w:tc>
      </w:tr>
    </w:tbl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Формування та розвиток СВАЗ не можливе без збалансування соціально-економічних інтересів та впливу зовнішнього середовища, що можливо досягти за допомогою місцевого органу самоврядування (місцевої,регіональною, міською адміністрацією) який забезпечує реалізацію державних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задач. Ефективні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сть дій місцевого органу самоврядування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обумовлена розумінням її ролі в системі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соціальної відповідальності,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а такожвикористовуван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ими інструментами. До сфери соціальної відповідальності відноситься коло проблем взаємовідносин працівників, УПАЗ, влади і суспільства в цілому, вирішення яких не входить номінально в сферу державного регулювання, але вкрай важливо для гармонійних стосунків у суспільстві.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Інтереси, якими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керу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ються УПАЗ, працівники підприємств, суспільство та місцеві органи самоврядування при реалізації напряму соціальної відповідальності, надані у рис. 1.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54892386" wp14:editId="188C5E5A">
            <wp:extent cx="4791075" cy="464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EC" w:rsidRPr="005959EC" w:rsidRDefault="005959EC" w:rsidP="005959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Рис. 1. – Інтереси учасників-партнерів 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відносин  у  галу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зі зв’язку та інформатизації при реалізації напряму соціальної відповідальності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 рис. 2 відображено взаємодія учасників (УПАЗ, працівники підприємств, суспільство та місцеві органи самоврядування) при реалізації напряму соціальної відповідальності.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59EC" w:rsidRPr="005959EC" w:rsidRDefault="005959EC" w:rsidP="00595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847A6F" wp14:editId="2AC79F12">
            <wp:extent cx="52101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Рис. 2. – Основні напрями взаємодії учасників-партнерів 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відносин  у  галу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зі зв’язку та інформатизації при реалізації напряму соціальної відповідальності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br/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ВИСНОВКИ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Взаємодію учасників в соціальній відповідальності можна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розділ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ити на два види, по-перше –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«УПАЗ – пра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цівник підприємства», а по-друге –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«УПАЗ – суспі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льство – місцеві органи самоврядування».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Принцип взаємодії «УПАЗ – працівник підприємства» – це взаємовідносини між УПАЗ і працівником підприємства на основі принципів декларовані в стандартах SA 8000, CSR/КСО – 2008 та ISO 26000.  Даний принцип взаємодії є важливою частиною соціальної стратегії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відносин, оскільки регламентація взаємовідносин між УПАЗ та працівниками підприємств шляхом введення внутрішнього стандарту соціальної відповідальності, дає змогу для працівників знати, яким чином відбувається на підприємстві встановлення соціальних пріоритетів та як і ким приймаються відповідні рішення, а також бути впевненими, що прийняті рішення будуть виконані.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Взаємодія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«УПАЗ – суспільство – м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ісцеві органи самоврядування». УПАЗ беруть участь у реалізації соціальних програм регіону у галузі зв’язку та інформатизації. Ці програми розробляються регіональними адміністраціями з урахуванням державних програм, результатів аналізу соціально-економічного розвитку в регіоні, стратегій з покращення інфраструктури регіону, пропозицій УПАЗ тощо.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УПАЗ, формуючи свої соціальні програми, повинні брати до уваги програми регіонального рівня. Так, наприклад, у м. Одеси є такі програми як «Програма соціально-економічного розвитку міста Одеси на 2012 рік» [12], «Основні напрями соціально-економічного розвитку міста Одеса на 2005-2015 роки» [5],  «Програма підтримки малого підприємництва в місті Одесі на 2012-2013 роки» [11], «Міська програма підтримки інформаційної сфери міста Одеси на 2012 рік» [10] тощо.</w:t>
      </w:r>
    </w:p>
    <w:p w:rsidR="005959EC" w:rsidRPr="005959EC" w:rsidRDefault="005959EC" w:rsidP="00595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При  здійсн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енні діяльності учасники-партнери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альянсових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відносин у галузі зв’язку та інформатизації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повинні  п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роводити таку політику, ухвалювати такі рішення і слідувати таким напрямам діяльності, які сприятимуть благу суспільства через належну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якість послуг 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зв’язку, високий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рівень безпеки виро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бництва, відповідні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умови роботи персонал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 та ін.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/>
      </w:r>
    </w:p>
    <w:p w:rsidR="005959EC" w:rsidRPr="005959EC" w:rsidRDefault="005959EC" w:rsidP="005959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19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ПЕРЕЛІК ВИКОРИСТАНИХ ДЖЕРЕЛ</w:t>
      </w:r>
    </w:p>
    <w:p w:rsidR="005959EC" w:rsidRPr="005959EC" w:rsidRDefault="005959EC" w:rsidP="005959EC">
      <w:pPr>
        <w:spacing w:after="0" w:line="19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</w:tblGrid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Безгодов, А. В.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Очерки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социологии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предпринимательства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А. В.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Безгодов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Д. П. Гавра . –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СПб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: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Петрополис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1999 . – 224 с.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hyperlink r:id="rId11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Вопросительная ответственность [Электронный ресурс]. – UGMK.INFO. – Режим доступа: http://www.ugmk.info/digest/1177067105/1.html.</w:t>
              </w:r>
            </w:hyperlink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hyperlink r:id="rId12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Добровольное дело [Электронный ресурс]. – Электронной газеты Фонда «Народная Инициатива». –№3. – 2011. – Режим доступа: http://www.fondni.ru/digest/issues/08_2011_3/glossary.php.</w:t>
              </w:r>
            </w:hyperlink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Клепиков Д. М. Методика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интегральной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оценки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состояния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социальной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ответственности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предприятия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[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Электронный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ресурс]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– Клепик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ов Д. М.,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Пасечникова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 – Пробл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емы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современной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экономики. – № 1 (41), 2012. – Режим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http://www.m-economy.ru/art.php?nArtId=4013.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 напрями соціально-економічного розвитку міста Одеса на 2005-2015 роки [Електронний ресурс]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– Реж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им доступу: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ht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tp://www.odessa.ua/programmes/214.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Офіційний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веб-сайт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ПАТ «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Panda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Security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[Електронний ресурс]. – Режим доступу: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htt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p://www.viruslab.ru.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hyperlink r:id="rId13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Офіційний веб-сайт  ПрАТ «Київстар Дж. Ес. Ем.» [Електронний ресурс]. – Режим доступу: http://www.kyivstar.ua/od/mm.</w:t>
              </w:r>
            </w:hyperlink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hyperlink r:id="rId14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Офіційний веб-сайт ПАТ «Укртелеком» [Електронний ресурс]. – Режим доступу: http://www.ukrtelecom.ua.</w:t>
              </w:r>
            </w:hyperlink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Офіційний веб-сайт СП ООО «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Cdma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Ukraine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[Електронний ресурс]. – Режим доступу: http://www.cdma.ua/company.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Одеської міської ради «Про затвердження «Міської програми підтримки інформаційної сфери міста Одеси на 2012 рік»« №1719-VI від 28.02.2012 р. [Електронний ресурс]. – Режим доступу: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htt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p://www.odessa.ua/ru/acts/council/40020.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Одеської міської ради «Про затвердження «Програми підтримки малого підприємництва в місті Одесі на 2012-2013 роки»« №1629-VI від 23.12.2011 р. [Електронний ресурс]. – Режим доступу: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htt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p://www.odessa.ua/ru/acts/council/38625.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Одеської міської ради «Про затвердження «Програми соціально-економічного розвитку міста Одеси на 2012 рік»« №1873-VI від 19.04.2012 р. [Електронний ресурс]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 – Реж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им доступу: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ht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tp://www.odessa.ua/ru/acts/council/41332.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hyperlink r:id="rId15" w:history="1">
              <w:r w:rsidRPr="005959EC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Социальная ответственность бизнеса: опыт России и Запада [Электронный ресурс]. – «Полит.ру» это информационно-аналитический портал. – Режим доступа: http://www.polit.ru/article/2004/06/21/social.</w:t>
              </w:r>
            </w:hyperlink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Стандарты по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корпоративной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социальной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ответственности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Электронный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ресурс]. –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Официальный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сайт.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Всероссийская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организация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качества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вопросам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социальной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отвеств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енности. – Режим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http://www.ksovok.com/standarts.php.</w:t>
            </w:r>
          </w:p>
        </w:tc>
      </w:tr>
      <w:tr w:rsidR="005959EC" w:rsidRPr="005959EC" w:rsidTr="005959EC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59EC" w:rsidRPr="005959EC" w:rsidRDefault="005959EC" w:rsidP="005959EC">
            <w:pPr>
              <w:spacing w:after="0" w:line="209" w:lineRule="atLeast"/>
              <w:ind w:left="809" w:hanging="360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</w:t>
            </w:r>
            <w:r w:rsidRPr="005959E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</w:t>
            </w:r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Business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Ethics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Social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Responsibility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[Електронний ресурс]. – Режим 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доступа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proofErr w:type="spellStart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htt</w:t>
            </w:r>
            <w:proofErr w:type="spellEnd"/>
            <w:r w:rsidRPr="005959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p://managementhelp.org/businessethics.</w:t>
            </w:r>
          </w:p>
        </w:tc>
      </w:tr>
    </w:tbl>
    <w:p w:rsidR="005959EC" w:rsidRPr="005959EC" w:rsidRDefault="005959EC" w:rsidP="005959EC">
      <w:pPr>
        <w:shd w:val="clear" w:color="auto" w:fill="FFFFFF"/>
        <w:spacing w:after="0" w:line="19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959E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hd w:val="clear" w:color="auto" w:fill="FFFFFF"/>
        <w:spacing w:after="0" w:line="19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Одержано 24.01.2013р.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959EC" w:rsidRPr="005959EC" w:rsidRDefault="005959EC" w:rsidP="00595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45" style="width:154.35pt;height:.75pt" o:hrpct="330" o:hrstd="t" o:hr="t" fillcolor="#b0aea7" stroked="f"/>
        </w:pict>
      </w:r>
    </w:p>
    <w:p w:rsidR="005959EC" w:rsidRPr="005959EC" w:rsidRDefault="005959EC" w:rsidP="0059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ftn1"/>
      <w:bookmarkEnd w:id="2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© 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Яцкев</w:t>
      </w:r>
      <w:proofErr w:type="spellEnd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ич  Інна Володимирівна,</w:t>
      </w:r>
      <w:proofErr w:type="spellStart"/>
      <w:r w:rsidRPr="00595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 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к.е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.н., доц. каф. економічної та фінансової політики Одеського регіонального інституту державного управління Національної академії державного управління при Президентові України, м. Одеса, тел. 0679741147, 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е-таil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: 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innav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2007@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proofErr w:type="spellStart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959E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9F5805" w:rsidRDefault="009F5805"/>
    <w:sectPr w:rsidR="009F5805" w:rsidSect="009F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EC"/>
    <w:rsid w:val="00000286"/>
    <w:rsid w:val="00011460"/>
    <w:rsid w:val="0002196D"/>
    <w:rsid w:val="0002436A"/>
    <w:rsid w:val="00025764"/>
    <w:rsid w:val="000352D8"/>
    <w:rsid w:val="00052F54"/>
    <w:rsid w:val="000546F9"/>
    <w:rsid w:val="00054E98"/>
    <w:rsid w:val="00062CA4"/>
    <w:rsid w:val="00072880"/>
    <w:rsid w:val="000A4B5F"/>
    <w:rsid w:val="000C1091"/>
    <w:rsid w:val="000E25F7"/>
    <w:rsid w:val="000E7C59"/>
    <w:rsid w:val="00103C38"/>
    <w:rsid w:val="00120C99"/>
    <w:rsid w:val="0012602E"/>
    <w:rsid w:val="00131FFB"/>
    <w:rsid w:val="00140432"/>
    <w:rsid w:val="0015326A"/>
    <w:rsid w:val="001642EA"/>
    <w:rsid w:val="0016476B"/>
    <w:rsid w:val="00165196"/>
    <w:rsid w:val="001706ED"/>
    <w:rsid w:val="0017348C"/>
    <w:rsid w:val="00176742"/>
    <w:rsid w:val="00180CFF"/>
    <w:rsid w:val="00181F5D"/>
    <w:rsid w:val="0019144F"/>
    <w:rsid w:val="0019616D"/>
    <w:rsid w:val="001B1771"/>
    <w:rsid w:val="001C082C"/>
    <w:rsid w:val="001F0595"/>
    <w:rsid w:val="00200DCD"/>
    <w:rsid w:val="00225684"/>
    <w:rsid w:val="00233CAC"/>
    <w:rsid w:val="00235F81"/>
    <w:rsid w:val="002360BF"/>
    <w:rsid w:val="002422CD"/>
    <w:rsid w:val="002465C7"/>
    <w:rsid w:val="00252F6F"/>
    <w:rsid w:val="00264121"/>
    <w:rsid w:val="00265CF9"/>
    <w:rsid w:val="00283980"/>
    <w:rsid w:val="00285D7F"/>
    <w:rsid w:val="00296FDE"/>
    <w:rsid w:val="002B0533"/>
    <w:rsid w:val="002B05E3"/>
    <w:rsid w:val="002C6E66"/>
    <w:rsid w:val="002C7FDF"/>
    <w:rsid w:val="002E2D31"/>
    <w:rsid w:val="002E606F"/>
    <w:rsid w:val="002F2919"/>
    <w:rsid w:val="002F724C"/>
    <w:rsid w:val="003017C1"/>
    <w:rsid w:val="003307E9"/>
    <w:rsid w:val="0033144D"/>
    <w:rsid w:val="00345B7F"/>
    <w:rsid w:val="00347F05"/>
    <w:rsid w:val="00366510"/>
    <w:rsid w:val="00386FB7"/>
    <w:rsid w:val="003A0831"/>
    <w:rsid w:val="003A4317"/>
    <w:rsid w:val="003E0910"/>
    <w:rsid w:val="003F28C1"/>
    <w:rsid w:val="0041081F"/>
    <w:rsid w:val="004169A8"/>
    <w:rsid w:val="004356BE"/>
    <w:rsid w:val="00435A95"/>
    <w:rsid w:val="00442DAE"/>
    <w:rsid w:val="004724FD"/>
    <w:rsid w:val="0047367D"/>
    <w:rsid w:val="004810C1"/>
    <w:rsid w:val="004845D4"/>
    <w:rsid w:val="004855D4"/>
    <w:rsid w:val="004A0A83"/>
    <w:rsid w:val="004A603E"/>
    <w:rsid w:val="004B78E0"/>
    <w:rsid w:val="004E25F3"/>
    <w:rsid w:val="004E2A5C"/>
    <w:rsid w:val="004F77EB"/>
    <w:rsid w:val="005077DD"/>
    <w:rsid w:val="00547FAC"/>
    <w:rsid w:val="005810FF"/>
    <w:rsid w:val="0058431C"/>
    <w:rsid w:val="005959EC"/>
    <w:rsid w:val="005A5539"/>
    <w:rsid w:val="005B028D"/>
    <w:rsid w:val="005E42DD"/>
    <w:rsid w:val="005E665A"/>
    <w:rsid w:val="005F3C79"/>
    <w:rsid w:val="005F76E8"/>
    <w:rsid w:val="00600072"/>
    <w:rsid w:val="00606247"/>
    <w:rsid w:val="006130E0"/>
    <w:rsid w:val="006140E7"/>
    <w:rsid w:val="0063192F"/>
    <w:rsid w:val="006502E9"/>
    <w:rsid w:val="006574D3"/>
    <w:rsid w:val="006629C3"/>
    <w:rsid w:val="00676740"/>
    <w:rsid w:val="006A5ADE"/>
    <w:rsid w:val="007349F2"/>
    <w:rsid w:val="00751881"/>
    <w:rsid w:val="00754DB6"/>
    <w:rsid w:val="00794EC8"/>
    <w:rsid w:val="007A0175"/>
    <w:rsid w:val="007B7A23"/>
    <w:rsid w:val="007D02F3"/>
    <w:rsid w:val="007D0405"/>
    <w:rsid w:val="007D49C3"/>
    <w:rsid w:val="007D7EF2"/>
    <w:rsid w:val="007E3B51"/>
    <w:rsid w:val="007E5E79"/>
    <w:rsid w:val="00810C5E"/>
    <w:rsid w:val="008150A5"/>
    <w:rsid w:val="008349C2"/>
    <w:rsid w:val="00857C84"/>
    <w:rsid w:val="008747B6"/>
    <w:rsid w:val="00897721"/>
    <w:rsid w:val="008B01BE"/>
    <w:rsid w:val="008B49BE"/>
    <w:rsid w:val="008B5787"/>
    <w:rsid w:val="008C51C7"/>
    <w:rsid w:val="008F3D15"/>
    <w:rsid w:val="008F4814"/>
    <w:rsid w:val="009074C0"/>
    <w:rsid w:val="0091137A"/>
    <w:rsid w:val="0093362F"/>
    <w:rsid w:val="00963724"/>
    <w:rsid w:val="00972DEA"/>
    <w:rsid w:val="00973149"/>
    <w:rsid w:val="00975564"/>
    <w:rsid w:val="00984726"/>
    <w:rsid w:val="00991D85"/>
    <w:rsid w:val="009A6FCC"/>
    <w:rsid w:val="009E40C9"/>
    <w:rsid w:val="009E452A"/>
    <w:rsid w:val="009F5805"/>
    <w:rsid w:val="00A10D12"/>
    <w:rsid w:val="00A17DAC"/>
    <w:rsid w:val="00A32725"/>
    <w:rsid w:val="00A3353F"/>
    <w:rsid w:val="00A741D4"/>
    <w:rsid w:val="00A8359A"/>
    <w:rsid w:val="00A8367B"/>
    <w:rsid w:val="00A96AFC"/>
    <w:rsid w:val="00AB0B94"/>
    <w:rsid w:val="00AC70AD"/>
    <w:rsid w:val="00AD0DB0"/>
    <w:rsid w:val="00AD252F"/>
    <w:rsid w:val="00AD2823"/>
    <w:rsid w:val="00AD3F1F"/>
    <w:rsid w:val="00AF348D"/>
    <w:rsid w:val="00B00FDA"/>
    <w:rsid w:val="00B07147"/>
    <w:rsid w:val="00B7205D"/>
    <w:rsid w:val="00B87FF2"/>
    <w:rsid w:val="00B94A49"/>
    <w:rsid w:val="00BA52DE"/>
    <w:rsid w:val="00BC14F8"/>
    <w:rsid w:val="00BD13BC"/>
    <w:rsid w:val="00C12AF9"/>
    <w:rsid w:val="00C1565F"/>
    <w:rsid w:val="00C202E7"/>
    <w:rsid w:val="00C20569"/>
    <w:rsid w:val="00C27920"/>
    <w:rsid w:val="00C31DC4"/>
    <w:rsid w:val="00C35C83"/>
    <w:rsid w:val="00C56777"/>
    <w:rsid w:val="00C743EC"/>
    <w:rsid w:val="00C75492"/>
    <w:rsid w:val="00CC06DB"/>
    <w:rsid w:val="00CC1DD8"/>
    <w:rsid w:val="00CE3D8E"/>
    <w:rsid w:val="00CF381F"/>
    <w:rsid w:val="00D025CC"/>
    <w:rsid w:val="00D43BD8"/>
    <w:rsid w:val="00D541D9"/>
    <w:rsid w:val="00D96DA7"/>
    <w:rsid w:val="00DA6C5C"/>
    <w:rsid w:val="00DB05D3"/>
    <w:rsid w:val="00DB62B0"/>
    <w:rsid w:val="00DB69E3"/>
    <w:rsid w:val="00DC2312"/>
    <w:rsid w:val="00DC3DCB"/>
    <w:rsid w:val="00DD4E3C"/>
    <w:rsid w:val="00DE4820"/>
    <w:rsid w:val="00E11092"/>
    <w:rsid w:val="00E145F9"/>
    <w:rsid w:val="00E1517A"/>
    <w:rsid w:val="00E16246"/>
    <w:rsid w:val="00E342D4"/>
    <w:rsid w:val="00E517C1"/>
    <w:rsid w:val="00E6367A"/>
    <w:rsid w:val="00E67C66"/>
    <w:rsid w:val="00E97D29"/>
    <w:rsid w:val="00EB01C7"/>
    <w:rsid w:val="00EC1B7B"/>
    <w:rsid w:val="00EE54E2"/>
    <w:rsid w:val="00F032D8"/>
    <w:rsid w:val="00F12B04"/>
    <w:rsid w:val="00F25878"/>
    <w:rsid w:val="00F4180B"/>
    <w:rsid w:val="00F42FED"/>
    <w:rsid w:val="00F70889"/>
    <w:rsid w:val="00FA5AA9"/>
    <w:rsid w:val="00FB7AB0"/>
    <w:rsid w:val="00FC39CC"/>
    <w:rsid w:val="00FC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9EC"/>
  </w:style>
  <w:style w:type="character" w:customStyle="1" w:styleId="hps">
    <w:name w:val="hps"/>
    <w:basedOn w:val="a0"/>
    <w:rsid w:val="005959EC"/>
  </w:style>
  <w:style w:type="character" w:customStyle="1" w:styleId="atn">
    <w:name w:val="atn"/>
    <w:basedOn w:val="a0"/>
    <w:rsid w:val="005959EC"/>
  </w:style>
  <w:style w:type="character" w:styleId="a3">
    <w:name w:val="Hyperlink"/>
    <w:basedOn w:val="a0"/>
    <w:uiPriority w:val="99"/>
    <w:semiHidden/>
    <w:unhideWhenUsed/>
    <w:rsid w:val="005959EC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5959EC"/>
  </w:style>
  <w:style w:type="paragraph" w:styleId="a5">
    <w:name w:val="Normal (Web)"/>
    <w:basedOn w:val="a"/>
    <w:uiPriority w:val="99"/>
    <w:semiHidden/>
    <w:unhideWhenUsed/>
    <w:rsid w:val="005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basedOn w:val="a0"/>
    <w:rsid w:val="005959EC"/>
  </w:style>
  <w:style w:type="character" w:customStyle="1" w:styleId="hpsatn">
    <w:name w:val="hpsatn"/>
    <w:basedOn w:val="a0"/>
    <w:rsid w:val="005959EC"/>
  </w:style>
  <w:style w:type="paragraph" w:customStyle="1" w:styleId="listparagraph">
    <w:name w:val="listparagraph"/>
    <w:basedOn w:val="a"/>
    <w:rsid w:val="005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5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C%D0%B5%D1%81%D1%82%D0%BD%D0%BE%D0%B5_%D0%BF%D1%80%D0%B5%D0%B4%D0%BF%D1%80%D0%B8%D1%8F%D1%82%D0%B8%D0%B5" TargetMode="External"/><Relationship Id="rId13" Type="http://schemas.openxmlformats.org/officeDocument/2006/relationships/hyperlink" Target="http://www.kyivstar.ua/od/mm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mpei.ru/notices/index/IdNotice:39241/index.php?url=/auteurs/view/17272/source:default" TargetMode="External"/><Relationship Id="rId12" Type="http://schemas.openxmlformats.org/officeDocument/2006/relationships/hyperlink" Target="http://www.fondni.ru/digest/96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ac.mpei.ru/notices/index/IdNotice:39241/index.php?url=/auteurs/view/18955/source:default" TargetMode="External"/><Relationship Id="rId11" Type="http://schemas.openxmlformats.org/officeDocument/2006/relationships/hyperlink" Target="http://www.ugmk.info/digest/1177067105/1.html" TargetMode="External"/><Relationship Id="rId5" Type="http://schemas.openxmlformats.org/officeDocument/2006/relationships/hyperlink" Target="http://www.m-economy.ru/author.php?nAuthorId=2740" TargetMode="External"/><Relationship Id="rId15" Type="http://schemas.openxmlformats.org/officeDocument/2006/relationships/hyperlink" Target="http://www.polit.ru/article/2012/08/31/redakciy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ukrtele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2017-08-28T07:31:00Z</dcterms:created>
  <dcterms:modified xsi:type="dcterms:W3CDTF">2017-08-28T07:35:00Z</dcterms:modified>
</cp:coreProperties>
</file>