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A2" w:rsidRPr="00E201A2" w:rsidRDefault="00E201A2" w:rsidP="00E201A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І.Г. </w:t>
      </w: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Брітченко</w:t>
      </w:r>
      <w:proofErr w:type="spellEnd"/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, д-р </w:t>
      </w: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екон</w:t>
      </w:r>
      <w:proofErr w:type="spellEnd"/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. наук, проф., Р.К. </w:t>
      </w: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Перепелиця</w:t>
      </w:r>
      <w:proofErr w:type="spellEnd"/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, В.І. </w:t>
      </w: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Славінський</w:t>
      </w:r>
      <w:proofErr w:type="spellEnd"/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201A2" w:rsidRDefault="00E201A2" w:rsidP="00E201A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Донецький</w:t>
      </w:r>
      <w:proofErr w:type="spellEnd"/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державний</w:t>
      </w:r>
      <w:proofErr w:type="spellEnd"/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університет</w:t>
      </w:r>
      <w:proofErr w:type="spellEnd"/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економіки</w:t>
      </w:r>
      <w:proofErr w:type="spellEnd"/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торгівлі</w:t>
      </w:r>
      <w:proofErr w:type="spellEnd"/>
    </w:p>
    <w:p w:rsidR="00E201A2" w:rsidRPr="00E201A2" w:rsidRDefault="00E201A2" w:rsidP="00E201A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ім</w:t>
      </w:r>
      <w:proofErr w:type="spellEnd"/>
      <w:r w:rsidRPr="00E201A2">
        <w:rPr>
          <w:rFonts w:ascii="Times New Roman" w:hAnsi="Times New Roman" w:cs="Times New Roman"/>
          <w:b/>
          <w:i/>
          <w:sz w:val="28"/>
          <w:szCs w:val="28"/>
        </w:rPr>
        <w:t xml:space="preserve">. М.І. </w:t>
      </w:r>
      <w:proofErr w:type="spellStart"/>
      <w:r w:rsidRPr="00E201A2">
        <w:rPr>
          <w:rFonts w:ascii="Times New Roman" w:hAnsi="Times New Roman" w:cs="Times New Roman"/>
          <w:b/>
          <w:i/>
          <w:sz w:val="28"/>
          <w:szCs w:val="28"/>
        </w:rPr>
        <w:t>Тугана-Барановського</w:t>
      </w:r>
      <w:proofErr w:type="spellEnd"/>
    </w:p>
    <w:p w:rsidR="00E201A2" w:rsidRPr="00E201A2" w:rsidRDefault="00E201A2" w:rsidP="00E20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b/>
          <w:sz w:val="28"/>
          <w:szCs w:val="28"/>
          <w:lang w:val="uk-UA"/>
        </w:rPr>
        <w:t>АКТИВІЗАЦІЯ ДІЯЛЬНОСТІ НА РИНКУ ЦІННИХ ПАПЕРІВ ЯК НАПРЯМ ПІДВИЩЕННЯ КОНКУРЕНТОСПРОМОЖНОСТІ БАНКІВСЬКОЇ СИСТЕМИ УКРАЇНИ</w:t>
      </w:r>
    </w:p>
    <w:p w:rsidR="00E201A2" w:rsidRPr="00E201A2" w:rsidRDefault="00E201A2" w:rsidP="00E201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Банківська система в Україні відіграє значну роль у становленні різних сегментів фінансового ринку.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секторах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ринку.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розгалуженої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філіальної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дозволяла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обслуговувати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емітентів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1A2" w:rsidRPr="00E201A2" w:rsidRDefault="00E201A2" w:rsidP="00E201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Аналіз структури випусків цінних паперів комерційними банками демонструє стрімке зростання ролі банків як емітентів облігацій і наявність численних проблем, пов’язаних із формуванням організованого ринку банківських акцій.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банківські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неорганізованому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банківськими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1A2" w:rsidRPr="00E201A2" w:rsidRDefault="00E201A2" w:rsidP="00E201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Зниження останнім часом їх частки в загальному обсязі випуску облігацій пов’язане з появою можливостей залучення коштів за нижчою процентною ставкою як за рахунок зниження ставок в цілому по банківській системі країни, так і за рахунок розширення можливостей виходу на міжнародні ринки з метою отримання синдикованих кредитів і розміщення </w:t>
      </w:r>
      <w:proofErr w:type="spellStart"/>
      <w:r w:rsidRPr="00E201A2">
        <w:rPr>
          <w:rFonts w:ascii="Times New Roman" w:hAnsi="Times New Roman" w:cs="Times New Roman"/>
          <w:sz w:val="28"/>
          <w:szCs w:val="28"/>
          <w:lang w:val="uk-UA"/>
        </w:rPr>
        <w:t>єврооблігаційних</w:t>
      </w:r>
      <w:proofErr w:type="spellEnd"/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позик.</w:t>
      </w:r>
    </w:p>
    <w:p w:rsidR="00E201A2" w:rsidRPr="00E201A2" w:rsidRDefault="00E201A2" w:rsidP="00E201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Перспективним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на фондовому ринку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пенсійних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активами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створеного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ним корпоративного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компанію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активами. </w:t>
      </w:r>
    </w:p>
    <w:p w:rsidR="00E201A2" w:rsidRPr="00E201A2" w:rsidRDefault="00E201A2" w:rsidP="00E201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Участь банківської системи у процесі випуску іпотечних цінних паперів передбачає створення фонду за рахунок коштів, отриманих від емісії облігацій, який набуває у банку прав вимоги за кредитними угодами, укладеними банком з фізичними особами для фінансування будівництва житла. </w:t>
      </w:r>
      <w:r w:rsidRPr="00E201A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боржників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іпотечними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договорами, фонд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зобов’язаннями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облігаціях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іпотечних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облігаціях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подвійне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, </w:t>
      </w:r>
      <w:r w:rsidRPr="00E201A2">
        <w:rPr>
          <w:rFonts w:ascii="Times New Roman" w:hAnsi="Times New Roman" w:cs="Times New Roman"/>
          <w:sz w:val="28"/>
          <w:szCs w:val="28"/>
        </w:rPr>
        <w:lastRenderedPageBreak/>
        <w:t xml:space="preserve">то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привабливість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облігацій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>.</w:t>
      </w:r>
    </w:p>
    <w:p w:rsidR="00E201A2" w:rsidRPr="00E201A2" w:rsidRDefault="00E201A2" w:rsidP="00E201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Банк як кредитор, що є власником іпотечних активів, може випускати іпотечні сертифікати на основі рефінансування іпотечних активів шляхом їх об’єднання в консолідований іпотечний борг і одночасного об’єднання іпотек, що їх забезпечують, в іпотечний пул. </w:t>
      </w:r>
      <w:r w:rsidRPr="00E201A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банк,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іпотечних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довірчого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керуючим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іпотекою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1A2" w:rsidRPr="00E201A2" w:rsidRDefault="00E201A2" w:rsidP="00E201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фондового ринку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 на державному </w:t>
      </w:r>
      <w:proofErr w:type="spellStart"/>
      <w:r w:rsidRPr="00E201A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201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01A2" w:rsidRPr="00E201A2" w:rsidRDefault="00E201A2" w:rsidP="00E20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вдосконалити процедури формування резервів під операції з цінними паперами з метою уникнення зловживань з боку комерційних банків; </w:t>
      </w:r>
    </w:p>
    <w:p w:rsidR="00E201A2" w:rsidRPr="00E201A2" w:rsidRDefault="00E201A2" w:rsidP="00E20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умови для підвищення рівня капіталізації банків та ефективності залучення ними власного капіталу шляхом включення акцій банків до лістингу; </w:t>
      </w:r>
    </w:p>
    <w:p w:rsidR="00E201A2" w:rsidRPr="00E201A2" w:rsidRDefault="00E201A2" w:rsidP="00E20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 нормативи інвестування комерційними банками коштів до статутних фондів підприємств у напрямку їх збільшення; </w:t>
      </w:r>
    </w:p>
    <w:p w:rsidR="00E201A2" w:rsidRPr="00E201A2" w:rsidRDefault="00E201A2" w:rsidP="00E20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сприяти вексельному обігу на організованому ринку та створити умови для випуску комерційних паперів; </w:t>
      </w:r>
    </w:p>
    <w:p w:rsidR="00E201A2" w:rsidRPr="00E201A2" w:rsidRDefault="00E201A2" w:rsidP="00E20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перелік цінних паперів та збільшити відсоток вартості цінних паперів, під які здійснюється рефінансування банків Національним банком України; </w:t>
      </w:r>
    </w:p>
    <w:p w:rsidR="00E201A2" w:rsidRPr="00E201A2" w:rsidRDefault="00E201A2" w:rsidP="00E20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необхідні законодавчі акти в частині зниження ризиків інвесторів недержавних пенсійних фондів та іпотечних цінних паперів; </w:t>
      </w:r>
    </w:p>
    <w:p w:rsidR="00935E45" w:rsidRPr="00E201A2" w:rsidRDefault="00E201A2" w:rsidP="00E20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сприяти випуску муніципальних облігацій, </w:t>
      </w:r>
      <w:proofErr w:type="spellStart"/>
      <w:r w:rsidRPr="00E201A2">
        <w:rPr>
          <w:rFonts w:ascii="Times New Roman" w:hAnsi="Times New Roman" w:cs="Times New Roman"/>
          <w:sz w:val="28"/>
          <w:szCs w:val="28"/>
          <w:lang w:val="uk-UA"/>
        </w:rPr>
        <w:t>андеррайтерами</w:t>
      </w:r>
      <w:proofErr w:type="spellEnd"/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яких могли б бути комерційні банки; </w:t>
      </w:r>
      <w:r w:rsidRPr="00E20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стандартизувати умови договорів іпотечного кредитування і прийняти Закон України </w:t>
      </w:r>
      <w:proofErr w:type="spellStart"/>
      <w:r w:rsidRPr="00E201A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E201A2">
        <w:rPr>
          <w:rFonts w:ascii="Times New Roman" w:hAnsi="Times New Roman" w:cs="Times New Roman"/>
          <w:sz w:val="28"/>
          <w:szCs w:val="28"/>
          <w:lang w:val="uk-UA"/>
        </w:rPr>
        <w:t xml:space="preserve"> іпотечні цінні </w:t>
      </w:r>
      <w:proofErr w:type="spellStart"/>
      <w:r w:rsidRPr="00E201A2">
        <w:rPr>
          <w:rFonts w:ascii="Times New Roman" w:hAnsi="Times New Roman" w:cs="Times New Roman"/>
          <w:sz w:val="28"/>
          <w:szCs w:val="28"/>
          <w:lang w:val="uk-UA"/>
        </w:rPr>
        <w:t>папери”</w:t>
      </w:r>
      <w:proofErr w:type="spellEnd"/>
      <w:r w:rsidRPr="00E201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35E45" w:rsidRPr="00E201A2" w:rsidSect="0093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1A2"/>
    <w:rsid w:val="00935E45"/>
    <w:rsid w:val="00E2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dcterms:created xsi:type="dcterms:W3CDTF">2015-03-15T20:52:00Z</dcterms:created>
  <dcterms:modified xsi:type="dcterms:W3CDTF">2015-03-15T20:55:00Z</dcterms:modified>
</cp:coreProperties>
</file>