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3826" w14:textId="77777777" w:rsidR="006D45D4" w:rsidRPr="00914983" w:rsidRDefault="006D45D4" w:rsidP="006D45D4">
      <w:pPr>
        <w:rPr>
          <w:rFonts w:ascii="Times New Roman" w:hAnsi="Times New Roman"/>
          <w:sz w:val="28"/>
          <w:szCs w:val="28"/>
          <w:lang w:val="uk-UA"/>
        </w:rPr>
      </w:pPr>
      <w:bookmarkStart w:id="0" w:name="_Hlk6156534"/>
    </w:p>
    <w:p w14:paraId="5A94D70E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proofErr w:type="spellStart"/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>Бисага</w:t>
      </w:r>
      <w:proofErr w:type="spellEnd"/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Ю.М.,</w:t>
      </w:r>
    </w:p>
    <w:p w14:paraId="1B0B1858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доктор юридичних наук, професор,</w:t>
      </w:r>
    </w:p>
    <w:p w14:paraId="13B19CCC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завідувач кафедри конституційного права </w:t>
      </w:r>
    </w:p>
    <w:p w14:paraId="1FD8F3C3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та порівняльного правознавства</w:t>
      </w:r>
    </w:p>
    <w:p w14:paraId="610C3569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юридичного факультету </w:t>
      </w:r>
    </w:p>
    <w:p w14:paraId="2C69F87A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ДВНЗ «Ужгородський національний університет»,</w:t>
      </w:r>
    </w:p>
    <w:p w14:paraId="786E3968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м. Ужгород, Україна</w:t>
      </w:r>
    </w:p>
    <w:p w14:paraId="379D49DC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28275929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>Коцкулич</w:t>
      </w:r>
      <w:proofErr w:type="spellEnd"/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В.В.,</w:t>
      </w:r>
    </w:p>
    <w:p w14:paraId="08944461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кандидат юридичних наук,</w:t>
      </w:r>
    </w:p>
    <w:p w14:paraId="3B0FDF7B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доцент кафедри конституційного права</w:t>
      </w:r>
    </w:p>
    <w:p w14:paraId="6AFD4BE5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та порівняльного правознавства</w:t>
      </w:r>
    </w:p>
    <w:p w14:paraId="125584B5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 xml:space="preserve">юридичного факультету </w:t>
      </w:r>
    </w:p>
    <w:p w14:paraId="75D0D89C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ДВНЗ «Ужгородський національний університет»,</w:t>
      </w:r>
    </w:p>
    <w:p w14:paraId="6812D61A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i/>
          <w:sz w:val="28"/>
          <w:szCs w:val="28"/>
          <w:lang w:val="uk-UA" w:eastAsia="uk-UA"/>
        </w:rPr>
        <w:t>м. Ужгород, Україна</w:t>
      </w:r>
    </w:p>
    <w:p w14:paraId="35AC7FFC" w14:textId="77777777" w:rsidR="006D45D4" w:rsidRPr="00914983" w:rsidRDefault="006D45D4" w:rsidP="006D45D4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  <w:lang w:val="uk-UA" w:eastAsia="uk-UA"/>
        </w:rPr>
      </w:pPr>
    </w:p>
    <w:p w14:paraId="35B6A689" w14:textId="77777777" w:rsidR="006D45D4" w:rsidRPr="00914983" w:rsidRDefault="006D45D4" w:rsidP="006D45D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14:paraId="5F826B35" w14:textId="77777777" w:rsidR="00124979" w:rsidRPr="00914983" w:rsidRDefault="006D45D4" w:rsidP="0012497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bookmarkStart w:id="1" w:name="_GoBack"/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>БЕЗПОСЕРЕДНЯ УЧАСТЬ НАРОДУ У ЗДІЙСНЕННІ СУДОВОЇ ВЛАДИ</w:t>
      </w:r>
      <w:r w:rsidR="005D6A9D"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="00124979"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>В КОНТЕКСТІ ІДЕЇ НАРОДНОГО СУВЕРЕНІТЕТУ</w:t>
      </w:r>
    </w:p>
    <w:bookmarkEnd w:id="1"/>
    <w:p w14:paraId="190CF639" w14:textId="045B92B9" w:rsidR="006D45D4" w:rsidRPr="00914983" w:rsidRDefault="005D6A9D" w:rsidP="0011460F">
      <w:pPr>
        <w:spacing w:after="0" w:line="360" w:lineRule="auto"/>
        <w:jc w:val="both"/>
        <w:rPr>
          <w:sz w:val="28"/>
          <w:szCs w:val="28"/>
          <w:lang w:val="uk-UA"/>
        </w:rPr>
      </w:pPr>
      <w:r w:rsidRPr="00914983">
        <w:rPr>
          <w:rFonts w:ascii="Times New Roman" w:hAnsi="Times New Roman"/>
          <w:b/>
          <w:bCs/>
          <w:sz w:val="28"/>
          <w:szCs w:val="28"/>
          <w:lang w:val="uk-UA" w:eastAsia="uk-UA"/>
        </w:rPr>
        <w:tab/>
      </w:r>
      <w:r w:rsidR="00255B9D" w:rsidRPr="00914983">
        <w:rPr>
          <w:rFonts w:ascii="Times New Roman" w:hAnsi="Times New Roman"/>
          <w:sz w:val="28"/>
          <w:szCs w:val="28"/>
          <w:lang w:val="uk-UA"/>
        </w:rPr>
        <w:t>Фундаментом</w:t>
      </w:r>
      <w:r w:rsidR="00687164" w:rsidRPr="00914983">
        <w:rPr>
          <w:rFonts w:ascii="Times New Roman" w:hAnsi="Times New Roman"/>
          <w:sz w:val="28"/>
          <w:szCs w:val="28"/>
          <w:lang w:val="uk-UA"/>
        </w:rPr>
        <w:t xml:space="preserve"> належного функціонування правової держави та громадянського суспільства є реалізація принципу народного суверенітету. Останній на сьогодні виступає «своєрідним постулатом»</w:t>
      </w:r>
      <w:r w:rsidR="00185BA4" w:rsidRPr="0091498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BA1BA2" w:rsidRPr="00914983">
        <w:rPr>
          <w:rFonts w:ascii="Times New Roman" w:hAnsi="Times New Roman"/>
          <w:sz w:val="28"/>
          <w:szCs w:val="28"/>
          <w:lang w:val="uk-UA"/>
        </w:rPr>
        <w:t xml:space="preserve">визначає особливості </w:t>
      </w:r>
      <w:r w:rsidR="005A1342" w:rsidRPr="00914983">
        <w:rPr>
          <w:rFonts w:ascii="Times New Roman" w:hAnsi="Times New Roman"/>
          <w:sz w:val="28"/>
          <w:szCs w:val="28"/>
          <w:lang w:val="uk-UA"/>
        </w:rPr>
        <w:t>залучення народу до здійснення держаної влади (народовладдя). Принцип народного суверенітету реалізується шляхом функціонування інститутів безпосередньої та представницької демократії</w:t>
      </w:r>
      <w:r w:rsidR="00143F52" w:rsidRPr="00914983">
        <w:rPr>
          <w:sz w:val="28"/>
          <w:szCs w:val="28"/>
          <w:lang w:val="uk-UA"/>
        </w:rPr>
        <w:t>.</w:t>
      </w:r>
      <w:r w:rsidR="006D45D4" w:rsidRPr="00914983">
        <w:rPr>
          <w:sz w:val="28"/>
          <w:szCs w:val="28"/>
          <w:lang w:val="uk-UA"/>
        </w:rPr>
        <w:t xml:space="preserve"> </w:t>
      </w:r>
      <w:r w:rsidR="006D45D4" w:rsidRPr="00914983">
        <w:rPr>
          <w:rFonts w:ascii="Times New Roman" w:hAnsi="Times New Roman"/>
          <w:sz w:val="28"/>
          <w:szCs w:val="28"/>
          <w:lang w:val="uk-UA"/>
        </w:rPr>
        <w:t>[</w:t>
      </w:r>
      <w:r w:rsidR="003C1A85" w:rsidRPr="00914983">
        <w:rPr>
          <w:rFonts w:ascii="Times New Roman" w:hAnsi="Times New Roman"/>
          <w:sz w:val="28"/>
          <w:szCs w:val="28"/>
          <w:lang w:val="uk-UA"/>
        </w:rPr>
        <w:t>1</w:t>
      </w:r>
      <w:r w:rsidR="006D45D4" w:rsidRPr="00914983">
        <w:rPr>
          <w:rFonts w:ascii="Times New Roman" w:hAnsi="Times New Roman"/>
          <w:sz w:val="28"/>
          <w:szCs w:val="28"/>
          <w:lang w:val="uk-UA"/>
        </w:rPr>
        <w:t>].</w:t>
      </w:r>
    </w:p>
    <w:p w14:paraId="68394BD6" w14:textId="6C96B45E" w:rsidR="006D45D4" w:rsidRPr="00914983" w:rsidRDefault="00BA1BA2" w:rsidP="00D40B5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14983">
        <w:rPr>
          <w:rFonts w:ascii="Times New Roman" w:hAnsi="Times New Roman"/>
          <w:sz w:val="28"/>
          <w:szCs w:val="28"/>
          <w:lang w:val="uk-UA"/>
        </w:rPr>
        <w:tab/>
      </w:r>
      <w:r w:rsidR="00FC2D66" w:rsidRPr="00914983">
        <w:rPr>
          <w:rFonts w:ascii="Times New Roman" w:hAnsi="Times New Roman"/>
          <w:sz w:val="28"/>
          <w:szCs w:val="28"/>
          <w:lang w:val="uk-UA" w:eastAsia="en-US"/>
        </w:rPr>
        <w:t>Щодо п</w:t>
      </w:r>
      <w:r w:rsidR="006D45D4" w:rsidRPr="00914983">
        <w:rPr>
          <w:rFonts w:ascii="Times New Roman" w:hAnsi="Times New Roman"/>
          <w:sz w:val="28"/>
          <w:szCs w:val="28"/>
          <w:lang w:val="uk-UA" w:eastAsia="en-US"/>
        </w:rPr>
        <w:t>итання про участь народу у здійсненні судочинства</w:t>
      </w:r>
      <w:r w:rsidR="00FC2D66" w:rsidRPr="00914983">
        <w:rPr>
          <w:rFonts w:ascii="Times New Roman" w:hAnsi="Times New Roman"/>
          <w:sz w:val="28"/>
          <w:szCs w:val="28"/>
          <w:lang w:val="uk-UA" w:eastAsia="en-US"/>
        </w:rPr>
        <w:t>, то слід відмітити, що воно</w:t>
      </w:r>
      <w:r w:rsidR="006D45D4" w:rsidRPr="00914983">
        <w:rPr>
          <w:rFonts w:ascii="Times New Roman" w:hAnsi="Times New Roman"/>
          <w:sz w:val="28"/>
          <w:szCs w:val="28"/>
          <w:lang w:val="uk-UA" w:eastAsia="en-US"/>
        </w:rPr>
        <w:t xml:space="preserve"> тісно пов’язане із засадою прозорості судової влади та правосуддя. На жаль, держава і суспільство ще не стали повноцінними партнерами у цьому аспекті. Колишні концепції не можуть бути цілком усунуті лише за участю держави, «для цього необхідно, щоб реформами рухав могутніший стимул, ніж посадові інструкції і млявий офіційний інтерес». Відтак, ми цілком підтримуємо позицію вітчизняного науковця С.В. Прилуцького щодо необхідності стимулювання зацікавленості народу у встановленні справедливості та істини у судовому провадженні. </w:t>
      </w:r>
      <w:r w:rsidR="006D45D4" w:rsidRPr="00914983">
        <w:rPr>
          <w:rFonts w:ascii="Times New Roman" w:hAnsi="Times New Roman"/>
          <w:sz w:val="28"/>
          <w:szCs w:val="28"/>
          <w:lang w:eastAsia="en-US"/>
        </w:rPr>
        <w:t>[</w:t>
      </w:r>
      <w:r w:rsidR="003C1A85" w:rsidRPr="00914983">
        <w:rPr>
          <w:rFonts w:ascii="Times New Roman" w:hAnsi="Times New Roman"/>
          <w:sz w:val="28"/>
          <w:szCs w:val="28"/>
          <w:lang w:val="uk-UA" w:eastAsia="en-US"/>
        </w:rPr>
        <w:t>2</w:t>
      </w:r>
      <w:r w:rsidR="006D45D4" w:rsidRPr="00914983">
        <w:rPr>
          <w:rFonts w:ascii="Times New Roman" w:hAnsi="Times New Roman"/>
          <w:sz w:val="28"/>
          <w:szCs w:val="28"/>
          <w:lang w:val="uk-UA" w:eastAsia="en-US"/>
        </w:rPr>
        <w:t>, с.238-239</w:t>
      </w:r>
      <w:r w:rsidR="006D45D4" w:rsidRPr="00914983">
        <w:rPr>
          <w:rFonts w:ascii="Times New Roman" w:hAnsi="Times New Roman"/>
          <w:sz w:val="28"/>
          <w:szCs w:val="28"/>
          <w:lang w:eastAsia="en-US"/>
        </w:rPr>
        <w:t>]</w:t>
      </w:r>
      <w:r w:rsidR="006D45D4" w:rsidRPr="00914983">
        <w:rPr>
          <w:rFonts w:ascii="Times New Roman" w:hAnsi="Times New Roman"/>
          <w:sz w:val="28"/>
          <w:szCs w:val="28"/>
          <w:lang w:val="uk-UA" w:eastAsia="en-US"/>
        </w:rPr>
        <w:t>.</w:t>
      </w:r>
    </w:p>
    <w:p w14:paraId="46183DC5" w14:textId="77777777" w:rsidR="002A4298" w:rsidRPr="00914983" w:rsidRDefault="00FC2D66" w:rsidP="00FC2D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14983">
        <w:rPr>
          <w:rFonts w:ascii="Times New Roman" w:hAnsi="Times New Roman"/>
          <w:sz w:val="28"/>
          <w:szCs w:val="28"/>
          <w:lang w:val="uk-UA" w:eastAsia="en-US"/>
        </w:rPr>
        <w:lastRenderedPageBreak/>
        <w:tab/>
      </w:r>
      <w:proofErr w:type="spellStart"/>
      <w:r w:rsidRPr="0091498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до ст. 124 </w:t>
      </w:r>
      <w:proofErr w:type="spellStart"/>
      <w:r w:rsidRPr="0091498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народ </w:t>
      </w:r>
      <w:proofErr w:type="spellStart"/>
      <w:r w:rsidRPr="00914983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бере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914983">
        <w:rPr>
          <w:rFonts w:ascii="Times New Roman" w:hAnsi="Times New Roman"/>
          <w:sz w:val="28"/>
          <w:szCs w:val="28"/>
        </w:rPr>
        <w:t>здійсненні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правосуддя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914983">
        <w:rPr>
          <w:rFonts w:ascii="Times New Roman" w:hAnsi="Times New Roman"/>
          <w:sz w:val="28"/>
          <w:szCs w:val="28"/>
        </w:rPr>
        <w:t>присяжних</w:t>
      </w:r>
      <w:proofErr w:type="spellEnd"/>
      <w:r w:rsidRPr="00914983">
        <w:rPr>
          <w:rFonts w:ascii="Times New Roman" w:hAnsi="Times New Roman"/>
          <w:sz w:val="28"/>
          <w:szCs w:val="28"/>
        </w:rPr>
        <w:t>.</w:t>
      </w:r>
      <w:r w:rsidRPr="00914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983">
        <w:rPr>
          <w:rFonts w:ascii="Times New Roman" w:hAnsi="Times New Roman"/>
          <w:sz w:val="28"/>
          <w:szCs w:val="28"/>
          <w:lang w:val="uk-UA" w:eastAsia="en-US"/>
        </w:rPr>
        <w:t>Участь громадян у здійсненні судової влади у формі суду присяжних безперечно є важливим елементом правової держави та громадянського суспільства. Попри це, як і будь-яке інше правове явище, реалізація принципу народовладдя в рамках здійснення судочинства безперечно має свої недоліки та переваги.</w:t>
      </w:r>
    </w:p>
    <w:p w14:paraId="345B5313" w14:textId="45FA53A8" w:rsidR="002A4298" w:rsidRPr="00914983" w:rsidRDefault="002A4298" w:rsidP="00FC2D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4983">
        <w:rPr>
          <w:lang w:val="uk-UA"/>
        </w:rPr>
        <w:tab/>
      </w:r>
      <w:r w:rsidR="008F4A0A" w:rsidRPr="00914983">
        <w:rPr>
          <w:rFonts w:ascii="Times New Roman" w:hAnsi="Times New Roman"/>
          <w:sz w:val="28"/>
          <w:szCs w:val="28"/>
          <w:lang w:val="uk-UA"/>
        </w:rPr>
        <w:t>Так, с</w:t>
      </w:r>
      <w:r w:rsidRPr="00914983">
        <w:rPr>
          <w:rFonts w:ascii="Times New Roman" w:hAnsi="Times New Roman"/>
          <w:sz w:val="28"/>
          <w:szCs w:val="28"/>
          <w:lang w:val="uk-UA"/>
        </w:rPr>
        <w:t xml:space="preserve">уд присяжних в Україні </w:t>
      </w:r>
      <w:r w:rsidR="00FC194C" w:rsidRPr="00914983">
        <w:rPr>
          <w:rFonts w:ascii="Times New Roman" w:hAnsi="Times New Roman"/>
          <w:sz w:val="28"/>
          <w:szCs w:val="28"/>
          <w:lang w:val="uk-UA"/>
        </w:rPr>
        <w:t xml:space="preserve">при вирішенні справ в межах кримінального </w:t>
      </w:r>
      <w:r w:rsidR="0011460F" w:rsidRPr="00914983">
        <w:rPr>
          <w:rFonts w:ascii="Times New Roman" w:hAnsi="Times New Roman"/>
          <w:sz w:val="28"/>
          <w:szCs w:val="28"/>
          <w:lang w:val="uk-UA"/>
        </w:rPr>
        <w:t>провадження</w:t>
      </w:r>
      <w:r w:rsidR="00FC194C" w:rsidRPr="00914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983">
        <w:rPr>
          <w:rFonts w:ascii="Times New Roman" w:hAnsi="Times New Roman"/>
          <w:sz w:val="28"/>
          <w:szCs w:val="28"/>
          <w:lang w:val="uk-UA"/>
        </w:rPr>
        <w:t>характеризується</w:t>
      </w:r>
      <w:r w:rsidR="00416BF2" w:rsidRPr="00914983">
        <w:rPr>
          <w:rFonts w:ascii="Times New Roman" w:hAnsi="Times New Roman"/>
          <w:sz w:val="28"/>
          <w:szCs w:val="28"/>
          <w:lang w:val="uk-UA"/>
        </w:rPr>
        <w:t>, радше,</w:t>
      </w:r>
      <w:r w:rsidRPr="00914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BF2" w:rsidRPr="00914983">
        <w:rPr>
          <w:rFonts w:ascii="Times New Roman" w:hAnsi="Times New Roman"/>
          <w:sz w:val="28"/>
          <w:szCs w:val="28"/>
          <w:lang w:val="uk-UA"/>
        </w:rPr>
        <w:t xml:space="preserve">наданням переваги обвинувальному </w:t>
      </w:r>
      <w:proofErr w:type="spellStart"/>
      <w:r w:rsidR="00416BF2" w:rsidRPr="00914983">
        <w:rPr>
          <w:rFonts w:ascii="Times New Roman" w:hAnsi="Times New Roman"/>
          <w:sz w:val="28"/>
          <w:szCs w:val="28"/>
          <w:lang w:val="uk-UA"/>
        </w:rPr>
        <w:t>вироку</w:t>
      </w:r>
      <w:proofErr w:type="spellEnd"/>
      <w:r w:rsidR="00416BF2" w:rsidRPr="00914983">
        <w:rPr>
          <w:rFonts w:ascii="Times New Roman" w:hAnsi="Times New Roman"/>
          <w:sz w:val="28"/>
          <w:szCs w:val="28"/>
          <w:lang w:val="uk-UA"/>
        </w:rPr>
        <w:t xml:space="preserve">, аніж </w:t>
      </w:r>
      <w:proofErr w:type="spellStart"/>
      <w:r w:rsidR="00416BF2" w:rsidRPr="00914983">
        <w:rPr>
          <w:rFonts w:ascii="Times New Roman" w:hAnsi="Times New Roman"/>
          <w:sz w:val="28"/>
          <w:szCs w:val="28"/>
          <w:lang w:val="uk-UA"/>
        </w:rPr>
        <w:t>виправдовувальному</w:t>
      </w:r>
      <w:proofErr w:type="spellEnd"/>
      <w:r w:rsidR="00416BF2" w:rsidRPr="00914983">
        <w:rPr>
          <w:rFonts w:ascii="Times New Roman" w:hAnsi="Times New Roman"/>
          <w:sz w:val="28"/>
          <w:szCs w:val="28"/>
          <w:lang w:val="uk-UA"/>
        </w:rPr>
        <w:t xml:space="preserve">. Відтак, значна кількість науковців схиляється до думки, що модель суду присяжних, яка застосовується насьогодні в Українській державі, не можна вважати дієвим способом захисту прав та свобод людини і громадянина. Таку позицію вчені </w:t>
      </w:r>
      <w:proofErr w:type="spellStart"/>
      <w:r w:rsidR="00416BF2" w:rsidRPr="00914983">
        <w:rPr>
          <w:rFonts w:ascii="Times New Roman" w:hAnsi="Times New Roman"/>
          <w:sz w:val="28"/>
          <w:szCs w:val="28"/>
          <w:lang w:val="uk-UA"/>
        </w:rPr>
        <w:t>обгрунтовують</w:t>
      </w:r>
      <w:proofErr w:type="spellEnd"/>
      <w:r w:rsidR="00416BF2" w:rsidRPr="00914983">
        <w:rPr>
          <w:rFonts w:ascii="Times New Roman" w:hAnsi="Times New Roman"/>
          <w:sz w:val="28"/>
          <w:szCs w:val="28"/>
          <w:lang w:val="uk-UA"/>
        </w:rPr>
        <w:t xml:space="preserve"> також і тим, що в багатьох інших державах кількісний показник </w:t>
      </w:r>
      <w:proofErr w:type="spellStart"/>
      <w:r w:rsidR="00416BF2" w:rsidRPr="00914983">
        <w:rPr>
          <w:rFonts w:ascii="Times New Roman" w:hAnsi="Times New Roman"/>
          <w:sz w:val="28"/>
          <w:szCs w:val="28"/>
          <w:lang w:val="uk-UA"/>
        </w:rPr>
        <w:t>виправдовувальних</w:t>
      </w:r>
      <w:proofErr w:type="spellEnd"/>
      <w:r w:rsidR="00416BF2" w:rsidRPr="009149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16BF2" w:rsidRPr="00914983">
        <w:rPr>
          <w:rFonts w:ascii="Times New Roman" w:hAnsi="Times New Roman"/>
          <w:sz w:val="28"/>
          <w:szCs w:val="28"/>
          <w:lang w:val="uk-UA"/>
        </w:rPr>
        <w:t>вироків</w:t>
      </w:r>
      <w:proofErr w:type="spellEnd"/>
      <w:r w:rsidR="00416BF2" w:rsidRPr="00914983">
        <w:rPr>
          <w:rFonts w:ascii="Times New Roman" w:hAnsi="Times New Roman"/>
          <w:sz w:val="28"/>
          <w:szCs w:val="28"/>
          <w:lang w:val="uk-UA"/>
        </w:rPr>
        <w:t xml:space="preserve"> є значно вищим. У науковому серед</w:t>
      </w:r>
      <w:r w:rsidR="009938AC" w:rsidRPr="00914983">
        <w:rPr>
          <w:rFonts w:ascii="Times New Roman" w:hAnsi="Times New Roman"/>
          <w:sz w:val="28"/>
          <w:szCs w:val="28"/>
          <w:lang w:val="uk-UA"/>
        </w:rPr>
        <w:t>ови</w:t>
      </w:r>
      <w:r w:rsidR="00416BF2" w:rsidRPr="00914983">
        <w:rPr>
          <w:rFonts w:ascii="Times New Roman" w:hAnsi="Times New Roman"/>
          <w:sz w:val="28"/>
          <w:szCs w:val="28"/>
          <w:lang w:val="uk-UA"/>
        </w:rPr>
        <w:t>щі також побутує думка, згідно якої модель суду присяжних в Україні має чітко виражений обвинувальний характер</w:t>
      </w:r>
      <w:r w:rsidR="00F70152" w:rsidRPr="009149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194C" w:rsidRPr="00914983">
        <w:rPr>
          <w:rFonts w:ascii="Times New Roman" w:hAnsi="Times New Roman"/>
          <w:sz w:val="28"/>
          <w:szCs w:val="28"/>
          <w:lang w:val="uk-UA"/>
        </w:rPr>
        <w:t>Наявність такої ознаки спричинена в осн</w:t>
      </w:r>
      <w:r w:rsidR="0011460F" w:rsidRPr="00914983">
        <w:rPr>
          <w:rFonts w:ascii="Times New Roman" w:hAnsi="Times New Roman"/>
          <w:sz w:val="28"/>
          <w:szCs w:val="28"/>
          <w:lang w:val="uk-UA"/>
        </w:rPr>
        <w:t>овному двома факторами: 1) законодавством України визначений вичерпний перелік справ за участю суду присяжних; 2) є можливість оскарження судового рішення, прийнятого судом присяжних в апеляційному порядку</w:t>
      </w:r>
      <w:r w:rsidR="00F70152" w:rsidRPr="009149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FC3" w:rsidRPr="00914983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6D464F" w:rsidRPr="00914983">
        <w:rPr>
          <w:rFonts w:ascii="Times New Roman" w:hAnsi="Times New Roman"/>
          <w:sz w:val="28"/>
          <w:szCs w:val="28"/>
          <w:lang w:val="uk-UA"/>
        </w:rPr>
        <w:t>3</w:t>
      </w:r>
      <w:r w:rsidR="00030FC3" w:rsidRPr="00914983">
        <w:rPr>
          <w:rFonts w:ascii="Times New Roman" w:hAnsi="Times New Roman"/>
          <w:sz w:val="28"/>
          <w:szCs w:val="28"/>
          <w:lang w:val="uk-UA"/>
        </w:rPr>
        <w:t>].</w:t>
      </w:r>
    </w:p>
    <w:p w14:paraId="76D6A7EF" w14:textId="17CCE6D5" w:rsidR="00A0788B" w:rsidRPr="00914983" w:rsidRDefault="00D256BC" w:rsidP="00A0788B">
      <w:pPr>
        <w:pStyle w:val="a9"/>
        <w:widowControl w:val="0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/>
        </w:rPr>
        <w:t>Поряд з цим, бе</w:t>
      </w:r>
      <w:r w:rsidR="00A0788B" w:rsidRPr="00914983">
        <w:rPr>
          <w:sz w:val="28"/>
          <w:szCs w:val="28"/>
          <w:lang w:val="uk-UA"/>
        </w:rPr>
        <w:t xml:space="preserve">зпосередня участь народу у відправленні правосуддя має ряд позитивних моментів, </w:t>
      </w:r>
      <w:r w:rsidRPr="00914983">
        <w:rPr>
          <w:sz w:val="28"/>
          <w:szCs w:val="28"/>
          <w:lang w:val="uk-UA"/>
        </w:rPr>
        <w:t>які у провідних країнах світу уже демонструють ефективність суду присяжних. Серед них</w:t>
      </w:r>
      <w:r w:rsidR="00A0788B" w:rsidRPr="00914983">
        <w:rPr>
          <w:sz w:val="28"/>
          <w:szCs w:val="28"/>
          <w:lang w:val="uk-UA"/>
        </w:rPr>
        <w:t xml:space="preserve"> доцільно виокремити такі:</w:t>
      </w:r>
    </w:p>
    <w:p w14:paraId="23F57AFB" w14:textId="77777777" w:rsidR="00A0788B" w:rsidRPr="00914983" w:rsidRDefault="00A0788B" w:rsidP="00A0788B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/>
        </w:rPr>
        <w:t>можливість зниження рівня залежності судової гілки влади від політичних інститутів;</w:t>
      </w:r>
    </w:p>
    <w:p w14:paraId="1B7BAC1A" w14:textId="77777777" w:rsidR="00A0788B" w:rsidRPr="00914983" w:rsidRDefault="00A0788B" w:rsidP="00A0788B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/>
        </w:rPr>
        <w:t>зменшення впливу на суддю суспільної думки;</w:t>
      </w:r>
    </w:p>
    <w:p w14:paraId="72862EC5" w14:textId="490B28D3" w:rsidR="00A0788B" w:rsidRPr="00914983" w:rsidRDefault="00A0788B" w:rsidP="00A0788B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/>
        </w:rPr>
        <w:t>забезпечення об’єктивності під час судового провадження за умови входження судді до тієї чи іншої соціальної групи [</w:t>
      </w:r>
      <w:r w:rsidR="006D464F" w:rsidRPr="00914983">
        <w:rPr>
          <w:sz w:val="28"/>
          <w:szCs w:val="28"/>
          <w:lang w:val="uk-UA"/>
        </w:rPr>
        <w:t>4,</w:t>
      </w:r>
      <w:r w:rsidRPr="00914983">
        <w:rPr>
          <w:sz w:val="28"/>
          <w:szCs w:val="28"/>
          <w:lang w:val="uk-UA"/>
        </w:rPr>
        <w:t xml:space="preserve"> с.112-113];</w:t>
      </w:r>
    </w:p>
    <w:p w14:paraId="20BD26CB" w14:textId="7D39F824" w:rsidR="00A0788B" w:rsidRPr="00914983" w:rsidRDefault="00A0788B" w:rsidP="00A0788B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/>
        </w:rPr>
        <w:t xml:space="preserve">запобігання розвитку деформації правової свідомості судді як стану викривленого, дефективного усвідомлення правової дійсності внаслідок </w:t>
      </w:r>
      <w:proofErr w:type="spellStart"/>
      <w:r w:rsidRPr="00914983">
        <w:rPr>
          <w:sz w:val="28"/>
          <w:szCs w:val="28"/>
          <w:lang w:val="uk-UA"/>
        </w:rPr>
        <w:t>не</w:t>
      </w:r>
      <w:r w:rsidRPr="00914983">
        <w:rPr>
          <w:sz w:val="28"/>
          <w:szCs w:val="28"/>
          <w:lang w:val="uk-UA" w:eastAsia="uk-UA"/>
        </w:rPr>
        <w:t>усвідомлення</w:t>
      </w:r>
      <w:proofErr w:type="spellEnd"/>
      <w:r w:rsidRPr="00914983">
        <w:rPr>
          <w:sz w:val="28"/>
          <w:szCs w:val="28"/>
          <w:lang w:val="uk-UA" w:eastAsia="uk-UA"/>
        </w:rPr>
        <w:t xml:space="preserve"> відмінностей між застарілими та новими поглядами, позиціями</w:t>
      </w:r>
      <w:r w:rsidR="00143F52" w:rsidRPr="00914983">
        <w:rPr>
          <w:sz w:val="28"/>
          <w:szCs w:val="28"/>
          <w:lang w:val="uk-UA"/>
        </w:rPr>
        <w:t xml:space="preserve"> </w:t>
      </w:r>
      <w:r w:rsidRPr="00914983">
        <w:rPr>
          <w:sz w:val="28"/>
          <w:szCs w:val="28"/>
          <w:lang w:val="uk-UA"/>
        </w:rPr>
        <w:lastRenderedPageBreak/>
        <w:t>[</w:t>
      </w:r>
      <w:r w:rsidR="006D464F" w:rsidRPr="00914983">
        <w:rPr>
          <w:sz w:val="28"/>
          <w:szCs w:val="28"/>
          <w:lang w:val="uk-UA"/>
        </w:rPr>
        <w:t>5</w:t>
      </w:r>
      <w:r w:rsidRPr="00914983">
        <w:rPr>
          <w:sz w:val="28"/>
          <w:szCs w:val="28"/>
          <w:lang w:val="uk-UA"/>
        </w:rPr>
        <w:t>, с. 50];</w:t>
      </w:r>
    </w:p>
    <w:p w14:paraId="1385EA87" w14:textId="5D1E07C4" w:rsidR="00A0788B" w:rsidRPr="00914983" w:rsidRDefault="00A0788B" w:rsidP="00A0788B">
      <w:pPr>
        <w:pStyle w:val="a9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/>
        </w:rPr>
        <w:t>реальна здатність впливати на оптимальність судових рішень.</w:t>
      </w:r>
    </w:p>
    <w:p w14:paraId="32841057" w14:textId="5320B33E" w:rsidR="00FC2D66" w:rsidRPr="00914983" w:rsidRDefault="00FC2D66" w:rsidP="00FC2D66">
      <w:pPr>
        <w:pStyle w:val="a9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914983">
        <w:rPr>
          <w:sz w:val="28"/>
          <w:szCs w:val="28"/>
          <w:lang w:val="uk-UA" w:eastAsia="en-US"/>
        </w:rPr>
        <w:t>Насамкінець, зазначимо, що е</w:t>
      </w:r>
      <w:r w:rsidRPr="00914983">
        <w:rPr>
          <w:sz w:val="28"/>
          <w:szCs w:val="28"/>
          <w:lang w:val="uk-UA"/>
        </w:rPr>
        <w:t xml:space="preserve">фективність судової системи має певні межі. Так, її верхньою межею є наявність прямого взаємозв’язку між метою здійснення судочинства та досягнутими результатами. Нижня межа, у свою чергу, є крайньою границею розвитку судочинства та передбачає втрату значимості суддівської професії у суспільстві, її повне нівелювання. [ </w:t>
      </w:r>
      <w:r w:rsidR="006D464F" w:rsidRPr="00914983">
        <w:rPr>
          <w:sz w:val="28"/>
          <w:szCs w:val="28"/>
          <w:lang w:val="uk-UA"/>
        </w:rPr>
        <w:t>6</w:t>
      </w:r>
      <w:r w:rsidRPr="00914983">
        <w:rPr>
          <w:sz w:val="28"/>
          <w:szCs w:val="28"/>
          <w:lang w:val="uk-UA"/>
        </w:rPr>
        <w:t>, с. 31]</w:t>
      </w:r>
      <w:r w:rsidR="00143F52" w:rsidRPr="00914983">
        <w:rPr>
          <w:sz w:val="28"/>
          <w:szCs w:val="28"/>
          <w:lang w:val="uk-UA"/>
        </w:rPr>
        <w:t>.</w:t>
      </w:r>
      <w:r w:rsidR="00F45E28" w:rsidRPr="00914983">
        <w:rPr>
          <w:sz w:val="28"/>
          <w:szCs w:val="28"/>
          <w:lang w:val="uk-UA"/>
        </w:rPr>
        <w:t xml:space="preserve"> Відтак, з метою забезпечення ефективності здійснення судочинства за участю народу вимагає здійснення заходів щодо активного реформування моделі суду присяжних в Україні шляхом запозичення кращого міжнародного досвіду у цій сфері.</w:t>
      </w:r>
    </w:p>
    <w:p w14:paraId="2EA4FE4E" w14:textId="77777777" w:rsidR="006D45D4" w:rsidRPr="00914983" w:rsidRDefault="006D45D4" w:rsidP="006D45D4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914983">
        <w:rPr>
          <w:rFonts w:ascii="Times New Roman" w:hAnsi="Times New Roman"/>
          <w:bCs/>
          <w:sz w:val="28"/>
          <w:szCs w:val="28"/>
          <w:lang w:val="uk-UA" w:eastAsia="uk-UA"/>
        </w:rPr>
        <w:t>Література:</w:t>
      </w:r>
    </w:p>
    <w:p w14:paraId="4AE819A7" w14:textId="77777777" w:rsidR="00E304E4" w:rsidRPr="00914983" w:rsidRDefault="00E304E4" w:rsidP="0005234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Прокопенко А. Референдум як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інститут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прямої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демократії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2018. URL</w:t>
      </w:r>
      <w:r w:rsidRPr="0034749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: </w:t>
      </w:r>
      <w:r w:rsidR="00B8055D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fldChar w:fldCharType="begin"/>
      </w:r>
      <w:r w:rsidR="00B8055D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instrText xml:space="preserve"> HYPERLINK "http://93.183.203.244/bitstream/handle/123456789/2680/Zbirnik_statei_2018-289-292.pdf?sequence=1&amp;isAllowed=y" </w:instrText>
      </w:r>
      <w:r w:rsidR="00B8055D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fldChar w:fldCharType="separate"/>
      </w:r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http</w:t>
      </w:r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://93.183.203.244/</w:t>
      </w:r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bitstream</w:t>
      </w:r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/</w:t>
      </w:r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handle</w:t>
      </w:r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/123456789/2680/</w:t>
      </w:r>
      <w:proofErr w:type="spellStart"/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Zbirnik</w:t>
      </w:r>
      <w:proofErr w:type="spellEnd"/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_</w:t>
      </w:r>
      <w:proofErr w:type="spellStart"/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statei</w:t>
      </w:r>
      <w:proofErr w:type="spellEnd"/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_2018-289-292.</w:t>
      </w:r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pdf</w:t>
      </w:r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?</w:t>
      </w:r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sequence</w:t>
      </w:r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=1&amp;</w:t>
      </w:r>
      <w:proofErr w:type="spellStart"/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isAllowed</w:t>
      </w:r>
      <w:proofErr w:type="spellEnd"/>
      <w:r w:rsidRPr="0034749E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=</w:t>
      </w:r>
      <w:r w:rsidRPr="00914983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y</w:t>
      </w:r>
      <w:r w:rsidR="00B8055D">
        <w:rPr>
          <w:rStyle w:val="aa"/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fldChar w:fldCharType="end"/>
      </w:r>
    </w:p>
    <w:p w14:paraId="5AFF1916" w14:textId="77777777" w:rsidR="00E304E4" w:rsidRPr="00914983" w:rsidRDefault="00E304E4" w:rsidP="0005234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Прилуцький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С. В.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Громадянське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суспільство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механізмі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судової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влади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правосуддя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: теоретико-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правовий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аспект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Часопис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Київського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права. 2010.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№1. С.236-243.</w:t>
      </w:r>
    </w:p>
    <w:p w14:paraId="6942C4D2" w14:textId="77777777" w:rsidR="00E304E4" w:rsidRPr="00914983" w:rsidRDefault="00E304E4" w:rsidP="0005234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Каташинський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Є. О. Участь народу у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здiйсненнi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кримiнального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правосуддя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теоретичний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практичний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аспект. 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2018.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URL</w:t>
      </w:r>
      <w:r w:rsidRPr="009149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8" w:history="1">
        <w:r w:rsidRPr="00914983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  <w:lang w:val="uk-UA"/>
          </w:rPr>
          <w:t>http://dspace.onu.edu.ua:8080/bitstream/handle/123456789/16170/153-156.pdf?sequence=1</w:t>
        </w:r>
      </w:hyperlink>
    </w:p>
    <w:p w14:paraId="7DC75531" w14:textId="77777777" w:rsidR="00E304E4" w:rsidRPr="00914983" w:rsidRDefault="00E304E4" w:rsidP="0005234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983">
        <w:rPr>
          <w:rFonts w:ascii="Times New Roman" w:hAnsi="Times New Roman"/>
          <w:sz w:val="28"/>
          <w:szCs w:val="28"/>
        </w:rPr>
        <w:t>Гладій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 w:rsidRPr="00914983">
        <w:rPr>
          <w:rFonts w:ascii="Times New Roman" w:hAnsi="Times New Roman"/>
          <w:sz w:val="28"/>
          <w:szCs w:val="28"/>
        </w:rPr>
        <w:t>Легітимність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судової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влади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14983">
        <w:rPr>
          <w:rFonts w:ascii="Times New Roman" w:hAnsi="Times New Roman"/>
          <w:sz w:val="28"/>
          <w:szCs w:val="28"/>
        </w:rPr>
        <w:t>дис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. …  канд. </w:t>
      </w:r>
      <w:proofErr w:type="spellStart"/>
      <w:r w:rsidRPr="00914983">
        <w:rPr>
          <w:rFonts w:ascii="Times New Roman" w:hAnsi="Times New Roman"/>
          <w:sz w:val="28"/>
          <w:szCs w:val="28"/>
        </w:rPr>
        <w:t>юрид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. наук: 12.00.10. </w:t>
      </w:r>
      <w:proofErr w:type="spellStart"/>
      <w:r w:rsidRPr="00914983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юридичний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</w:rPr>
        <w:t>імені</w:t>
      </w:r>
      <w:proofErr w:type="spellEnd"/>
      <w:r w:rsidRPr="00914983">
        <w:rPr>
          <w:rFonts w:ascii="Times New Roman" w:hAnsi="Times New Roman"/>
          <w:sz w:val="28"/>
          <w:szCs w:val="28"/>
        </w:rPr>
        <w:t xml:space="preserve"> Ярослава Мудрого.  </w:t>
      </w:r>
      <w:proofErr w:type="spellStart"/>
      <w:r w:rsidRPr="00914983">
        <w:rPr>
          <w:rFonts w:ascii="Times New Roman" w:hAnsi="Times New Roman"/>
          <w:sz w:val="28"/>
          <w:szCs w:val="28"/>
        </w:rPr>
        <w:t>Харків</w:t>
      </w:r>
      <w:proofErr w:type="spellEnd"/>
      <w:r w:rsidRPr="00914983">
        <w:rPr>
          <w:rFonts w:ascii="Times New Roman" w:hAnsi="Times New Roman"/>
          <w:sz w:val="28"/>
          <w:szCs w:val="28"/>
        </w:rPr>
        <w:t>, 2014. 207 с.</w:t>
      </w:r>
    </w:p>
    <w:p w14:paraId="4AC4A31A" w14:textId="628095E6" w:rsidR="00E304E4" w:rsidRPr="00914983" w:rsidRDefault="00E304E4" w:rsidP="0005234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983">
        <w:rPr>
          <w:rFonts w:ascii="Times New Roman" w:hAnsi="Times New Roman"/>
          <w:sz w:val="28"/>
          <w:szCs w:val="28"/>
          <w:lang w:val="uk-UA"/>
        </w:rPr>
        <w:t>Коцкулич</w:t>
      </w:r>
      <w:proofErr w:type="spellEnd"/>
      <w:r w:rsidRPr="00914983">
        <w:rPr>
          <w:rFonts w:ascii="Times New Roman" w:hAnsi="Times New Roman"/>
          <w:sz w:val="28"/>
          <w:szCs w:val="28"/>
          <w:lang w:val="uk-UA"/>
        </w:rPr>
        <w:t xml:space="preserve"> В.В. Формування професійної правосвідомості судді та суддівського розсуду: організаційний та </w:t>
      </w:r>
      <w:proofErr w:type="spellStart"/>
      <w:r w:rsidRPr="00914983">
        <w:rPr>
          <w:rFonts w:ascii="Times New Roman" w:hAnsi="Times New Roman"/>
          <w:sz w:val="28"/>
          <w:szCs w:val="28"/>
          <w:lang w:val="uk-UA"/>
        </w:rPr>
        <w:t>праксеологічний</w:t>
      </w:r>
      <w:proofErr w:type="spellEnd"/>
      <w:r w:rsidRPr="00914983">
        <w:rPr>
          <w:rFonts w:ascii="Times New Roman" w:hAnsi="Times New Roman"/>
          <w:sz w:val="28"/>
          <w:szCs w:val="28"/>
          <w:lang w:val="uk-UA"/>
        </w:rPr>
        <w:t xml:space="preserve"> аспекти: </w:t>
      </w:r>
      <w:proofErr w:type="spellStart"/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>дис</w:t>
      </w:r>
      <w:proofErr w:type="spellEnd"/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>канд</w:t>
      </w:r>
      <w:proofErr w:type="spellEnd"/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>юрид</w:t>
      </w:r>
      <w:proofErr w:type="spellEnd"/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 xml:space="preserve">. наук : </w:t>
      </w:r>
      <w:r w:rsidRPr="00914983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12.00.10 «</w:t>
      </w:r>
      <w:r w:rsidRPr="00914983">
        <w:rPr>
          <w:rFonts w:ascii="Times New Roman" w:hAnsi="Times New Roman"/>
          <w:sz w:val="28"/>
          <w:szCs w:val="28"/>
          <w:lang w:val="uk-UA"/>
        </w:rPr>
        <w:t>судоустрій; прокуратура та адвокатура».</w:t>
      </w:r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14983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Київ:</w:t>
      </w:r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14983">
        <w:rPr>
          <w:rFonts w:ascii="Times New Roman" w:hAnsi="Times New Roman"/>
          <w:sz w:val="28"/>
          <w:szCs w:val="28"/>
          <w:lang w:val="uk-UA"/>
        </w:rPr>
        <w:t>Київський національний університет імені Тараса Шевченка.</w:t>
      </w:r>
      <w:r w:rsidRPr="00914983">
        <w:rPr>
          <w:rStyle w:val="ac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14983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2018. 230 с.</w:t>
      </w:r>
    </w:p>
    <w:p w14:paraId="4096EEFB" w14:textId="09BDA08B" w:rsidR="00E304E4" w:rsidRPr="00914983" w:rsidRDefault="00E304E4" w:rsidP="0005234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1498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Москвич Л. М.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Критерії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оцінювання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ефективності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судової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системи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Вісник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 xml:space="preserve"> Верховного Суду </w:t>
      </w:r>
      <w:proofErr w:type="spellStart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Pr="00914983">
        <w:rPr>
          <w:rFonts w:ascii="Times New Roman" w:hAnsi="Times New Roman"/>
          <w:sz w:val="28"/>
          <w:szCs w:val="28"/>
          <w:shd w:val="clear" w:color="auto" w:fill="FFFFFF"/>
        </w:rPr>
        <w:t>. 2010. №. 10. С. 30-35.</w:t>
      </w:r>
    </w:p>
    <w:bookmarkEnd w:id="0"/>
    <w:p w14:paraId="51B18F51" w14:textId="77777777" w:rsidR="00733368" w:rsidRPr="00914983" w:rsidRDefault="00733368"/>
    <w:sectPr w:rsidR="00733368" w:rsidRPr="00914983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2D0A" w14:textId="77777777" w:rsidR="00B8055D" w:rsidRDefault="00B8055D" w:rsidP="006D45D4">
      <w:pPr>
        <w:spacing w:after="0" w:line="240" w:lineRule="auto"/>
      </w:pPr>
      <w:r>
        <w:separator/>
      </w:r>
    </w:p>
  </w:endnote>
  <w:endnote w:type="continuationSeparator" w:id="0">
    <w:p w14:paraId="6DE9AE3D" w14:textId="77777777" w:rsidR="00B8055D" w:rsidRDefault="00B8055D" w:rsidP="006D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A0DDB" w14:textId="77777777" w:rsidR="00B8055D" w:rsidRDefault="00B8055D" w:rsidP="006D45D4">
      <w:pPr>
        <w:spacing w:after="0" w:line="240" w:lineRule="auto"/>
      </w:pPr>
      <w:r>
        <w:separator/>
      </w:r>
    </w:p>
  </w:footnote>
  <w:footnote w:type="continuationSeparator" w:id="0">
    <w:p w14:paraId="2F02D467" w14:textId="77777777" w:rsidR="00B8055D" w:rsidRDefault="00B8055D" w:rsidP="006D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255427"/>
      <w:docPartObj>
        <w:docPartGallery w:val="Page Numbers (Top of Page)"/>
        <w:docPartUnique/>
      </w:docPartObj>
    </w:sdtPr>
    <w:sdtEndPr/>
    <w:sdtContent>
      <w:p w14:paraId="0698CBFE" w14:textId="77777777" w:rsidR="00CE0C2C" w:rsidRDefault="00CC13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ED6745D" w14:textId="77777777" w:rsidR="0083089E" w:rsidRDefault="00B805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0668"/>
    <w:multiLevelType w:val="hybridMultilevel"/>
    <w:tmpl w:val="8A74045C"/>
    <w:lvl w:ilvl="0" w:tplc="AC5CF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C1C"/>
    <w:multiLevelType w:val="hybridMultilevel"/>
    <w:tmpl w:val="0D666D74"/>
    <w:lvl w:ilvl="0" w:tplc="698C7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2B117D"/>
    <w:multiLevelType w:val="hybridMultilevel"/>
    <w:tmpl w:val="8A74045C"/>
    <w:lvl w:ilvl="0" w:tplc="AC5CF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F0E0B"/>
    <w:multiLevelType w:val="hybridMultilevel"/>
    <w:tmpl w:val="8A74045C"/>
    <w:lvl w:ilvl="0" w:tplc="AC5CF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86"/>
    <w:rsid w:val="00030FC3"/>
    <w:rsid w:val="00052344"/>
    <w:rsid w:val="0011460F"/>
    <w:rsid w:val="00124979"/>
    <w:rsid w:val="00143F52"/>
    <w:rsid w:val="00185BA4"/>
    <w:rsid w:val="0018664D"/>
    <w:rsid w:val="001A63C5"/>
    <w:rsid w:val="0020074C"/>
    <w:rsid w:val="00255B9D"/>
    <w:rsid w:val="002A4298"/>
    <w:rsid w:val="002C26B5"/>
    <w:rsid w:val="0034749E"/>
    <w:rsid w:val="003C1A85"/>
    <w:rsid w:val="00416BF2"/>
    <w:rsid w:val="004A4A36"/>
    <w:rsid w:val="004D78F7"/>
    <w:rsid w:val="004E150A"/>
    <w:rsid w:val="004E7395"/>
    <w:rsid w:val="0052176E"/>
    <w:rsid w:val="00532A2D"/>
    <w:rsid w:val="005A1342"/>
    <w:rsid w:val="005D6A9D"/>
    <w:rsid w:val="00687164"/>
    <w:rsid w:val="006A24A7"/>
    <w:rsid w:val="006D45D4"/>
    <w:rsid w:val="006D464F"/>
    <w:rsid w:val="00733368"/>
    <w:rsid w:val="008149B7"/>
    <w:rsid w:val="008F4A0A"/>
    <w:rsid w:val="00914983"/>
    <w:rsid w:val="009938AC"/>
    <w:rsid w:val="00A0788B"/>
    <w:rsid w:val="00B8055D"/>
    <w:rsid w:val="00BA1BA2"/>
    <w:rsid w:val="00C064E9"/>
    <w:rsid w:val="00CC1325"/>
    <w:rsid w:val="00D256BC"/>
    <w:rsid w:val="00D31586"/>
    <w:rsid w:val="00D40B51"/>
    <w:rsid w:val="00DA11E1"/>
    <w:rsid w:val="00DD105F"/>
    <w:rsid w:val="00E304E4"/>
    <w:rsid w:val="00E51B14"/>
    <w:rsid w:val="00F45E28"/>
    <w:rsid w:val="00F70152"/>
    <w:rsid w:val="00FB1198"/>
    <w:rsid w:val="00FC194C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46E4"/>
  <w15:chartTrackingRefBased/>
  <w15:docId w15:val="{74CDB75B-C3C9-49D7-8E81-AF16062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D4"/>
    <w:pPr>
      <w:spacing w:after="200" w:line="276" w:lineRule="auto"/>
    </w:pPr>
    <w:rPr>
      <w:rFonts w:ascii="Calibri" w:eastAsia="Times New Roman" w:hAnsi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rsid w:val="0020074C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1"/>
    </w:pPr>
    <w:rPr>
      <w:rFonts w:ascii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74C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20074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6D45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D45D4"/>
    <w:rPr>
      <w:rFonts w:ascii="Calibri" w:eastAsia="Times New Roman" w:hAnsi="Calibri"/>
      <w:sz w:val="22"/>
      <w:szCs w:val="22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6D45D4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6D45D4"/>
    <w:rPr>
      <w:rFonts w:ascii="Calibri" w:eastAsia="Times New Roman" w:hAnsi="Calibri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6D45D4"/>
    <w:rPr>
      <w:vertAlign w:val="superscript"/>
    </w:rPr>
  </w:style>
  <w:style w:type="paragraph" w:styleId="a9">
    <w:name w:val="Normal (Web)"/>
    <w:basedOn w:val="a"/>
    <w:rsid w:val="006D4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E304E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304E4"/>
    <w:rPr>
      <w:color w:val="605E5C"/>
      <w:shd w:val="clear" w:color="auto" w:fill="E1DFDD"/>
    </w:rPr>
  </w:style>
  <w:style w:type="character" w:styleId="ac">
    <w:name w:val="Subtle Emphasis"/>
    <w:basedOn w:val="a0"/>
    <w:uiPriority w:val="19"/>
    <w:qFormat/>
    <w:rsid w:val="00E304E4"/>
    <w:rPr>
      <w:rFonts w:cs="Times New Roman"/>
      <w:i/>
      <w:iCs/>
      <w:color w:val="808080"/>
    </w:rPr>
  </w:style>
  <w:style w:type="paragraph" w:styleId="ad">
    <w:name w:val="Body Text"/>
    <w:basedOn w:val="a"/>
    <w:link w:val="ae"/>
    <w:uiPriority w:val="99"/>
    <w:rsid w:val="00E304E4"/>
    <w:pPr>
      <w:spacing w:after="120"/>
    </w:pPr>
    <w:rPr>
      <w:rFonts w:ascii="Times New Roman" w:hAnsi="Times New Roman"/>
      <w:sz w:val="28"/>
      <w:szCs w:val="28"/>
    </w:rPr>
  </w:style>
  <w:style w:type="character" w:customStyle="1" w:styleId="ae">
    <w:name w:val="Основний текст Знак"/>
    <w:basedOn w:val="a0"/>
    <w:link w:val="ad"/>
    <w:uiPriority w:val="99"/>
    <w:rsid w:val="00E304E4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onu.edu.ua:8080/bitstream/handle/123456789/16170/153-156.pdf?sequenc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D65F-2C10-46A1-BD1D-2D6641DA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36</cp:revision>
  <dcterms:created xsi:type="dcterms:W3CDTF">2019-04-14T11:33:00Z</dcterms:created>
  <dcterms:modified xsi:type="dcterms:W3CDTF">2019-04-14T19:24:00Z</dcterms:modified>
</cp:coreProperties>
</file>