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2C140" w14:textId="705AA101" w:rsidR="000E75F4" w:rsidRPr="0058365D" w:rsidRDefault="00C71D7B" w:rsidP="00DA52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8F8F8"/>
          <w:lang w:val="uk-UA"/>
        </w:rPr>
      </w:pPr>
      <w:r w:rsidRPr="0058365D">
        <w:rPr>
          <w:rFonts w:ascii="Times New Roman" w:hAnsi="Times New Roman" w:cs="Times New Roman"/>
          <w:b/>
          <w:sz w:val="24"/>
          <w:szCs w:val="24"/>
          <w:shd w:val="clear" w:color="auto" w:fill="F8F8F8"/>
          <w:lang w:val="uk-UA"/>
        </w:rPr>
        <w:t>НЕАЛКОГОЛЬНА ЖИРОВА ХВОРОБА ПЕЧІНКИ У ДІТЕЙ ТА ПІДЛІТКІВ: ПОШУК ОПТИМАЛЬНИХ ПАТОГЕНЕТИЧНИХ ТА КЛІНІКО-ДІАГНОСТИЧНИХ РІШЕНЬ (ОГЛЯД ЛІТЕРАТУРИ)</w:t>
      </w:r>
    </w:p>
    <w:p w14:paraId="41D9E894" w14:textId="28298818" w:rsidR="00C54653" w:rsidRPr="00DA529E" w:rsidRDefault="00C54653" w:rsidP="00DA529E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8F8F8"/>
          <w:lang w:val="uk-UA"/>
        </w:rPr>
      </w:pPr>
      <w:proofErr w:type="spellStart"/>
      <w:r w:rsidRPr="00DA529E">
        <w:rPr>
          <w:rFonts w:ascii="Times New Roman" w:hAnsi="Times New Roman" w:cs="Times New Roman"/>
          <w:b/>
          <w:i/>
          <w:sz w:val="24"/>
          <w:szCs w:val="24"/>
          <w:shd w:val="clear" w:color="auto" w:fill="F8F8F8"/>
          <w:lang w:val="uk-UA"/>
        </w:rPr>
        <w:t>Горленко</w:t>
      </w:r>
      <w:proofErr w:type="spellEnd"/>
      <w:r w:rsidRPr="00DA529E">
        <w:rPr>
          <w:rFonts w:ascii="Times New Roman" w:hAnsi="Times New Roman" w:cs="Times New Roman"/>
          <w:b/>
          <w:i/>
          <w:sz w:val="24"/>
          <w:szCs w:val="24"/>
          <w:shd w:val="clear" w:color="auto" w:fill="F8F8F8"/>
          <w:lang w:val="uk-UA"/>
        </w:rPr>
        <w:t xml:space="preserve"> О.М.</w:t>
      </w:r>
      <w:bookmarkStart w:id="0" w:name="_Hlk77036747"/>
      <w:r w:rsidR="004A1BDB" w:rsidRPr="00DA529E">
        <w:rPr>
          <w:rFonts w:ascii="Times New Roman" w:hAnsi="Times New Roman" w:cs="Times New Roman"/>
          <w:b/>
          <w:i/>
          <w:sz w:val="24"/>
          <w:szCs w:val="24"/>
          <w:shd w:val="clear" w:color="auto" w:fill="F8F8F8"/>
          <w:lang w:val="uk-UA"/>
        </w:rPr>
        <w:t>¹</w:t>
      </w:r>
      <w:bookmarkEnd w:id="0"/>
      <w:r w:rsidRPr="00DA529E">
        <w:rPr>
          <w:rFonts w:ascii="Times New Roman" w:hAnsi="Times New Roman" w:cs="Times New Roman"/>
          <w:b/>
          <w:i/>
          <w:sz w:val="24"/>
          <w:szCs w:val="24"/>
          <w:shd w:val="clear" w:color="auto" w:fill="F8F8F8"/>
          <w:lang w:val="uk-UA"/>
        </w:rPr>
        <w:t>, Пушкаренко О.А.</w:t>
      </w:r>
      <w:r w:rsidR="004A1BDB" w:rsidRPr="00DA529E">
        <w:rPr>
          <w:rFonts w:ascii="Times New Roman" w:hAnsi="Times New Roman" w:cs="Times New Roman"/>
          <w:b/>
          <w:i/>
          <w:sz w:val="24"/>
          <w:szCs w:val="24"/>
          <w:shd w:val="clear" w:color="auto" w:fill="F8F8F8"/>
          <w:lang w:val="uk-UA"/>
        </w:rPr>
        <w:t xml:space="preserve"> ¹</w:t>
      </w:r>
    </w:p>
    <w:p w14:paraId="5C56C9B3" w14:textId="37AC9089" w:rsidR="004A1BDB" w:rsidRPr="00DA529E" w:rsidRDefault="004A1BDB" w:rsidP="00DA529E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8F8F8"/>
          <w:lang w:val="uk-UA"/>
        </w:rPr>
      </w:pPr>
      <w:r w:rsidRPr="00DA529E">
        <w:rPr>
          <w:rFonts w:ascii="Times New Roman" w:hAnsi="Times New Roman" w:cs="Times New Roman"/>
          <w:i/>
          <w:sz w:val="24"/>
          <w:szCs w:val="24"/>
          <w:shd w:val="clear" w:color="auto" w:fill="F8F8F8"/>
          <w:lang w:val="uk-UA"/>
        </w:rPr>
        <w:t>¹ДВНЗ «Ужгородський національний університет»</w:t>
      </w:r>
    </w:p>
    <w:p w14:paraId="72319BCD" w14:textId="3555E493" w:rsidR="004A1BDB" w:rsidRPr="0058365D" w:rsidRDefault="008B59CF" w:rsidP="00DA529E">
      <w:pPr>
        <w:pStyle w:val="a8"/>
        <w:spacing w:line="360" w:lineRule="auto"/>
        <w:jc w:val="center"/>
        <w:rPr>
          <w:shd w:val="clear" w:color="auto" w:fill="F8F8F8"/>
          <w:lang w:val="uk-UA"/>
        </w:rPr>
      </w:pPr>
      <w:r w:rsidRPr="00DA529E">
        <w:rPr>
          <w:rFonts w:ascii="Times New Roman" w:hAnsi="Times New Roman" w:cs="Times New Roman"/>
          <w:i/>
          <w:sz w:val="24"/>
          <w:szCs w:val="24"/>
          <w:shd w:val="clear" w:color="auto" w:fill="F8F8F8"/>
          <w:lang w:val="uk-UA"/>
        </w:rPr>
        <w:t>к</w:t>
      </w:r>
      <w:r w:rsidR="004A1BDB" w:rsidRPr="00DA529E">
        <w:rPr>
          <w:rFonts w:ascii="Times New Roman" w:hAnsi="Times New Roman" w:cs="Times New Roman"/>
          <w:i/>
          <w:sz w:val="24"/>
          <w:szCs w:val="24"/>
          <w:shd w:val="clear" w:color="auto" w:fill="F8F8F8"/>
          <w:lang w:val="uk-UA"/>
        </w:rPr>
        <w:t xml:space="preserve">афедра дитячих </w:t>
      </w:r>
      <w:proofErr w:type="spellStart"/>
      <w:r w:rsidR="004A1BDB" w:rsidRPr="00DA529E">
        <w:rPr>
          <w:rFonts w:ascii="Times New Roman" w:hAnsi="Times New Roman" w:cs="Times New Roman"/>
          <w:i/>
          <w:sz w:val="24"/>
          <w:szCs w:val="24"/>
          <w:shd w:val="clear" w:color="auto" w:fill="F8F8F8"/>
          <w:lang w:val="uk-UA"/>
        </w:rPr>
        <w:t>хвороб</w:t>
      </w:r>
      <w:proofErr w:type="spellEnd"/>
      <w:r w:rsidR="00C71D7B" w:rsidRPr="00DA529E">
        <w:rPr>
          <w:rFonts w:ascii="Times New Roman" w:hAnsi="Times New Roman" w:cs="Times New Roman"/>
          <w:i/>
          <w:sz w:val="24"/>
          <w:szCs w:val="24"/>
          <w:shd w:val="clear" w:color="auto" w:fill="F8F8F8"/>
          <w:lang w:val="uk-UA"/>
        </w:rPr>
        <w:t xml:space="preserve"> з курсом інфекційних </w:t>
      </w:r>
      <w:proofErr w:type="spellStart"/>
      <w:r w:rsidR="00C71D7B" w:rsidRPr="00DA529E">
        <w:rPr>
          <w:rFonts w:ascii="Times New Roman" w:hAnsi="Times New Roman" w:cs="Times New Roman"/>
          <w:i/>
          <w:sz w:val="24"/>
          <w:szCs w:val="24"/>
          <w:shd w:val="clear" w:color="auto" w:fill="F8F8F8"/>
          <w:lang w:val="uk-UA"/>
        </w:rPr>
        <w:t>хвороб</w:t>
      </w:r>
      <w:proofErr w:type="spellEnd"/>
    </w:p>
    <w:p w14:paraId="0F75635A" w14:textId="2895A038" w:rsidR="00C75D43" w:rsidRPr="00381678" w:rsidRDefault="00C75D43" w:rsidP="00DA529E">
      <w:pPr>
        <w:spacing w:line="36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uk-UA"/>
        </w:rPr>
      </w:pPr>
      <w:r w:rsidRPr="00381678">
        <w:rPr>
          <w:rStyle w:val="a9"/>
          <w:rFonts w:ascii="Times New Roman" w:hAnsi="Times New Roman" w:cs="Times New Roman"/>
          <w:sz w:val="24"/>
          <w:szCs w:val="24"/>
          <w:lang w:val="uk-UA"/>
        </w:rPr>
        <w:t>Резюме:</w:t>
      </w:r>
      <w:r w:rsidR="004A1BDB" w:rsidRPr="00381678">
        <w:rPr>
          <w:rStyle w:val="a9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4A1BDB" w:rsidRPr="00381678">
        <w:rPr>
          <w:rStyle w:val="a9"/>
          <w:rFonts w:ascii="Times New Roman" w:hAnsi="Times New Roman" w:cs="Times New Roman"/>
          <w:b w:val="0"/>
          <w:i/>
          <w:sz w:val="24"/>
          <w:szCs w:val="24"/>
          <w:lang w:val="uk-UA"/>
        </w:rPr>
        <w:t>Вступ.</w:t>
      </w:r>
      <w:r w:rsidR="004A1BDB" w:rsidRPr="00381678">
        <w:rPr>
          <w:rStyle w:val="a9"/>
          <w:rFonts w:ascii="Times New Roman" w:hAnsi="Times New Roman" w:cs="Times New Roman"/>
          <w:b w:val="0"/>
          <w:sz w:val="24"/>
          <w:szCs w:val="24"/>
          <w:lang w:val="uk-UA"/>
        </w:rPr>
        <w:t xml:space="preserve"> Неалкогольна жирова хвороба печінки </w:t>
      </w:r>
      <w:r w:rsidR="0060169D" w:rsidRPr="00381678">
        <w:rPr>
          <w:rStyle w:val="a9"/>
          <w:rFonts w:ascii="Times New Roman" w:hAnsi="Times New Roman" w:cs="Times New Roman"/>
          <w:b w:val="0"/>
          <w:sz w:val="24"/>
          <w:szCs w:val="24"/>
          <w:lang w:val="uk-UA"/>
        </w:rPr>
        <w:t xml:space="preserve">(НАЖХП) </w:t>
      </w:r>
      <w:r w:rsidR="004A1BDB" w:rsidRPr="00381678">
        <w:rPr>
          <w:rStyle w:val="a9"/>
          <w:rFonts w:ascii="Times New Roman" w:hAnsi="Times New Roman" w:cs="Times New Roman"/>
          <w:b w:val="0"/>
          <w:sz w:val="24"/>
          <w:szCs w:val="24"/>
          <w:lang w:val="uk-UA"/>
        </w:rPr>
        <w:t>на сучасному етапі стає однією із основних причин розвитку хронічних дифузних захворювань печінки у дітей та підлітків і є одним із проявів метаболічного синдрому.</w:t>
      </w:r>
    </w:p>
    <w:p w14:paraId="4BD39844" w14:textId="5F71B766" w:rsidR="004A1BDB" w:rsidRPr="00DA529E" w:rsidRDefault="004A1BDB" w:rsidP="00DA529E">
      <w:pPr>
        <w:spacing w:line="36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381678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 xml:space="preserve">Мета </w:t>
      </w:r>
      <w:proofErr w:type="spellStart"/>
      <w:r w:rsidRPr="00381678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дослідження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оцінити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існуючі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патогенетичні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proofErr w:type="gram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клінічні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 прояви</w:t>
      </w:r>
      <w:proofErr w:type="gram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НАЖХП,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висвітлити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основні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діагностичні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критерії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НАЖХП у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дітей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підлітків</w:t>
      </w:r>
      <w:proofErr w:type="spellEnd"/>
      <w:r w:rsidR="006A6FB6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</w:p>
    <w:p w14:paraId="6DB4C0C9" w14:textId="285513A1" w:rsidR="004A1BDB" w:rsidRPr="00DA529E" w:rsidRDefault="004A1BDB" w:rsidP="00DA529E">
      <w:pPr>
        <w:spacing w:line="36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81678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Матеріали</w:t>
      </w:r>
      <w:proofErr w:type="spellEnd"/>
      <w:r w:rsidRPr="00381678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 xml:space="preserve"> та </w:t>
      </w:r>
      <w:proofErr w:type="spellStart"/>
      <w:r w:rsidRPr="00381678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методи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="007D380C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Огляд</w:t>
      </w:r>
      <w:proofErr w:type="spellEnd"/>
      <w:r w:rsidR="007D380C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і </w:t>
      </w:r>
      <w:proofErr w:type="spellStart"/>
      <w:r w:rsidR="007D380C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аналіз</w:t>
      </w:r>
      <w:proofErr w:type="spellEnd"/>
      <w:r w:rsidR="007D380C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D380C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літературних</w:t>
      </w:r>
      <w:proofErr w:type="spellEnd"/>
      <w:r w:rsidR="007D380C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D380C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джерел</w:t>
      </w:r>
      <w:proofErr w:type="spellEnd"/>
      <w:r w:rsidR="007D380C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для </w:t>
      </w:r>
      <w:proofErr w:type="spellStart"/>
      <w:r w:rsidR="007D380C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розкриття</w:t>
      </w:r>
      <w:proofErr w:type="spellEnd"/>
      <w:r w:rsidR="007D380C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D380C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вибраної</w:t>
      </w:r>
      <w:proofErr w:type="spellEnd"/>
      <w:r w:rsidR="007D380C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теми</w:t>
      </w:r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</w:p>
    <w:p w14:paraId="54217409" w14:textId="77777777" w:rsidR="006A6FB6" w:rsidRPr="00DA529E" w:rsidRDefault="007D380C" w:rsidP="00DA529E">
      <w:pPr>
        <w:spacing w:line="36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81678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Результати</w:t>
      </w:r>
      <w:proofErr w:type="spellEnd"/>
      <w:r w:rsidRPr="00381678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381678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досліджень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. НАЖХП — </w:t>
      </w:r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актуальна</w:t>
      </w:r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глобальна проблема в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педіатрії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, яка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має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тенденцію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до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зростання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Діагноз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НАЖБП, є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діагнозом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виключення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і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передбачає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наявність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таких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клініко-лабораторних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інструментальних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показників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, як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надлишкова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вага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або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ожиріння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збільшення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розмірів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печінки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зміни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сироваткових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біомаркерів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принаймі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АЛТ, АСТ, ЛФ,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ліпідограми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рівня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глюкози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інсуліна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)</w:t>
      </w:r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,</w:t>
      </w:r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ехографічних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кількісних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даних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стеатозу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печінки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Рання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діагностика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дано</w:t>
      </w:r>
      <w:r w:rsidR="006A6FB6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го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6FB6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захворювання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особливо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важлива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для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дітей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з факторами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ризику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для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попередження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важких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незворотніх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ускладнень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зі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сторони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гепатобіліарної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системи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дорослому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віці</w:t>
      </w:r>
      <w:proofErr w:type="spellEnd"/>
      <w:r w:rsidR="0060169D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</w:p>
    <w:p w14:paraId="399D64F5" w14:textId="5A6B3F8C" w:rsidR="006A6FB6" w:rsidRPr="0058365D" w:rsidRDefault="007D380C" w:rsidP="00DA529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8F8F8"/>
          <w:lang w:val="uk-UA"/>
        </w:rPr>
      </w:pPr>
      <w:bookmarkStart w:id="1" w:name="_GoBack"/>
      <w:proofErr w:type="spellStart"/>
      <w:r w:rsidRPr="00381678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Висновки</w:t>
      </w:r>
      <w:bookmarkEnd w:id="1"/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A6FB6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Доведений </w:t>
      </w:r>
      <w:proofErr w:type="spellStart"/>
      <w:r w:rsidR="006A6FB6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взаємозв’язок</w:t>
      </w:r>
      <w:proofErr w:type="spellEnd"/>
      <w:r w:rsidR="006A6FB6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6FB6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між</w:t>
      </w:r>
      <w:proofErr w:type="spellEnd"/>
      <w:r w:rsidR="006A6FB6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педіатричною НАЖХП і метаболічними факторами ризику, включаючи </w:t>
      </w:r>
      <w:proofErr w:type="spellStart"/>
      <w:r w:rsidR="006A6FB6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інсулінорезистентність</w:t>
      </w:r>
      <w:proofErr w:type="spellEnd"/>
      <w:r w:rsidR="006A6FB6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6A6FB6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дисліпідемії</w:t>
      </w:r>
      <w:proofErr w:type="spellEnd"/>
      <w:r w:rsidR="006A6FB6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ожиріння, </w:t>
      </w:r>
      <w:proofErr w:type="spellStart"/>
      <w:r w:rsidR="006A6FB6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кардіоваскулярні</w:t>
      </w:r>
      <w:proofErr w:type="spellEnd"/>
      <w:r w:rsidR="006A6FB6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захворювання, потребує </w:t>
      </w:r>
      <w:proofErr w:type="spellStart"/>
      <w:r w:rsidR="006A6FB6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мультидисциплінарного</w:t>
      </w:r>
      <w:proofErr w:type="spellEnd"/>
      <w:r w:rsidR="006A6FB6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підходу до даної проблеми з метою своєчасної діагностики, лікування та </w:t>
      </w:r>
      <w:proofErr w:type="gramStart"/>
      <w:r w:rsidR="006A6FB6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уникнення  прогресування</w:t>
      </w:r>
      <w:proofErr w:type="gramEnd"/>
      <w:r w:rsidR="006A6FB6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патології. </w:t>
      </w:r>
    </w:p>
    <w:p w14:paraId="6C99AF0D" w14:textId="36432794" w:rsidR="004A1BDB" w:rsidRPr="00DA529E" w:rsidRDefault="004A1BDB" w:rsidP="00745E0D">
      <w:pPr>
        <w:spacing w:line="36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45E0D">
        <w:rPr>
          <w:rStyle w:val="a9"/>
          <w:rFonts w:ascii="Times New Roman" w:hAnsi="Times New Roman" w:cs="Times New Roman"/>
          <w:sz w:val="24"/>
          <w:szCs w:val="24"/>
        </w:rPr>
        <w:t>Ключові</w:t>
      </w:r>
      <w:proofErr w:type="spellEnd"/>
      <w:r w:rsidRPr="00745E0D">
        <w:rPr>
          <w:rStyle w:val="a9"/>
          <w:rFonts w:ascii="Times New Roman" w:hAnsi="Times New Roman" w:cs="Times New Roman"/>
          <w:sz w:val="24"/>
          <w:szCs w:val="24"/>
        </w:rPr>
        <w:t xml:space="preserve"> слова</w:t>
      </w:r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неалкогольна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жирова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хвороба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печінки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стеатоз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діти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підлітки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ожиріння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метаболічний</w:t>
      </w:r>
      <w:proofErr w:type="spellEnd"/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синдром.</w:t>
      </w:r>
    </w:p>
    <w:p w14:paraId="1CA63254" w14:textId="2EE589DF" w:rsidR="00C71D7B" w:rsidRPr="0058365D" w:rsidRDefault="00C71D7B" w:rsidP="00DA529E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</w:pPr>
    </w:p>
    <w:p w14:paraId="10F4898D" w14:textId="41920DEE" w:rsidR="00DA529E" w:rsidRPr="00DA529E" w:rsidRDefault="00C71D7B" w:rsidP="00DA52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_Hlk77040185"/>
      <w:r w:rsidRPr="00DA529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Non-alcoholic fatty liver disease </w:t>
      </w:r>
      <w:bookmarkEnd w:id="2"/>
      <w:r w:rsidRPr="00DA529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(NAFLD)</w:t>
      </w:r>
      <w:r w:rsidRPr="00DA529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DA529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in children and adolescen</w:t>
      </w:r>
      <w:r w:rsidR="0058365D" w:rsidRPr="00DA529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ts</w:t>
      </w:r>
      <w:r w:rsidRPr="00DA529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:</w:t>
      </w:r>
      <w:r w:rsidR="00DA529E" w:rsidRPr="00DA529E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="00DA529E" w:rsidRPr="00DA529E">
        <w:rPr>
          <w:rFonts w:ascii="Times New Roman" w:hAnsi="Times New Roman" w:cs="Times New Roman"/>
          <w:b/>
          <w:sz w:val="24"/>
          <w:szCs w:val="24"/>
          <w:lang w:val="en"/>
        </w:rPr>
        <w:t>seach</w:t>
      </w:r>
      <w:proofErr w:type="spellEnd"/>
      <w:r w:rsidR="00DA529E" w:rsidRPr="00DA529E">
        <w:rPr>
          <w:rFonts w:ascii="Times New Roman" w:hAnsi="Times New Roman" w:cs="Times New Roman"/>
          <w:b/>
          <w:sz w:val="24"/>
          <w:szCs w:val="24"/>
          <w:lang w:val="en"/>
        </w:rPr>
        <w:t xml:space="preserve"> for optimal pathogenetic and clinical-diagnostic solutions (</w:t>
      </w:r>
      <w:proofErr w:type="spellStart"/>
      <w:r w:rsidR="00DA529E" w:rsidRPr="00DA529E">
        <w:rPr>
          <w:rFonts w:ascii="Times New Roman" w:hAnsi="Times New Roman" w:cs="Times New Roman"/>
          <w:b/>
          <w:sz w:val="24"/>
          <w:szCs w:val="24"/>
          <w:lang w:val="en"/>
        </w:rPr>
        <w:t>litarature</w:t>
      </w:r>
      <w:proofErr w:type="spellEnd"/>
      <w:r w:rsidR="00DA529E" w:rsidRPr="00DA529E">
        <w:rPr>
          <w:rFonts w:ascii="Times New Roman" w:hAnsi="Times New Roman" w:cs="Times New Roman"/>
          <w:b/>
          <w:sz w:val="24"/>
          <w:szCs w:val="24"/>
          <w:lang w:val="en"/>
        </w:rPr>
        <w:t xml:space="preserve"> review)</w:t>
      </w:r>
    </w:p>
    <w:p w14:paraId="36E7032F" w14:textId="12CA4334" w:rsidR="00C71D7B" w:rsidRPr="00DA529E" w:rsidRDefault="00DA529E" w:rsidP="00DA529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8F8F8"/>
          <w:lang w:val="en-US"/>
        </w:rPr>
      </w:pPr>
      <w:proofErr w:type="spellStart"/>
      <w:r w:rsidRPr="00DA529E">
        <w:rPr>
          <w:rFonts w:ascii="Times New Roman" w:hAnsi="Times New Roman" w:cs="Times New Roman"/>
          <w:i/>
          <w:sz w:val="24"/>
          <w:szCs w:val="24"/>
          <w:shd w:val="clear" w:color="auto" w:fill="F8F8F8"/>
          <w:lang w:val="en-US"/>
        </w:rPr>
        <w:t>Horlenko</w:t>
      </w:r>
      <w:proofErr w:type="spellEnd"/>
      <w:r w:rsidRPr="00DA529E">
        <w:rPr>
          <w:rFonts w:ascii="Times New Roman" w:hAnsi="Times New Roman" w:cs="Times New Roman"/>
          <w:i/>
          <w:sz w:val="24"/>
          <w:szCs w:val="24"/>
          <w:shd w:val="clear" w:color="auto" w:fill="F8F8F8"/>
          <w:lang w:val="en-US"/>
        </w:rPr>
        <w:t xml:space="preserve"> O., </w:t>
      </w:r>
      <w:proofErr w:type="spellStart"/>
      <w:r w:rsidRPr="00DA529E">
        <w:rPr>
          <w:rFonts w:ascii="Times New Roman" w:hAnsi="Times New Roman" w:cs="Times New Roman"/>
          <w:i/>
          <w:sz w:val="24"/>
          <w:szCs w:val="24"/>
          <w:shd w:val="clear" w:color="auto" w:fill="F8F8F8"/>
          <w:lang w:val="en-US"/>
        </w:rPr>
        <w:t>Pushkarenko</w:t>
      </w:r>
      <w:proofErr w:type="spellEnd"/>
      <w:r w:rsidRPr="00DA529E">
        <w:rPr>
          <w:rFonts w:ascii="Times New Roman" w:hAnsi="Times New Roman" w:cs="Times New Roman"/>
          <w:i/>
          <w:sz w:val="24"/>
          <w:szCs w:val="24"/>
          <w:shd w:val="clear" w:color="auto" w:fill="F8F8F8"/>
          <w:lang w:val="en-US"/>
        </w:rPr>
        <w:t xml:space="preserve"> O.</w:t>
      </w:r>
    </w:p>
    <w:p w14:paraId="2118E7AA" w14:textId="7480CFAB" w:rsidR="007568FE" w:rsidRPr="00DA529E" w:rsidRDefault="007568FE" w:rsidP="00DA529E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DA529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Abstract.</w:t>
      </w:r>
      <w:r w:rsidRPr="005836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8365D">
        <w:rPr>
          <w:rFonts w:ascii="Times New Roman" w:hAnsi="Times New Roman" w:cs="Times New Roman"/>
          <w:i/>
          <w:iCs/>
          <w:sz w:val="24"/>
          <w:szCs w:val="24"/>
          <w:lang w:val="en-US"/>
        </w:rPr>
        <w:t>Introduction</w:t>
      </w:r>
      <w:r w:rsidR="00C71D7B" w:rsidRPr="0058365D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="00C71D7B"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Non-alcoholic fatty liver disease (NAFLD)</w:t>
      </w:r>
      <w:r w:rsidR="0058365D" w:rsidRPr="0058365D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 at the present stage it becomes one of the main causes of chronic diffuse liver disease in children and adolescents and is one of the manifestations of metabolic syndrome.</w:t>
      </w:r>
    </w:p>
    <w:p w14:paraId="0FC6C1CB" w14:textId="0CABD2A7" w:rsidR="007568FE" w:rsidRPr="00DA529E" w:rsidRDefault="007568FE" w:rsidP="00DA529E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58365D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aim of the study</w:t>
      </w:r>
      <w:r w:rsidR="0058365D" w:rsidRPr="0058365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</w:t>
      </w:r>
      <w:r w:rsidR="0058365D" w:rsidRPr="0058365D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 to evaluate the existing pathogenetic and clinical manifestations of NAFLD, to highlight the main diagnostic criteria for NAFLD in children and adolescents.</w:t>
      </w:r>
    </w:p>
    <w:p w14:paraId="76AF63F6" w14:textId="36BD0A24" w:rsidR="00C71D7B" w:rsidRPr="00DA529E" w:rsidRDefault="00C71D7B" w:rsidP="00DA529E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58365D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Materials and methods</w:t>
      </w:r>
      <w:r w:rsidRPr="0058365D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="0058365D" w:rsidRPr="0058365D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 Review and analysis of literature sources to reveal the selected topic.</w:t>
      </w:r>
    </w:p>
    <w:p w14:paraId="6426BBC3" w14:textId="4BF8DF91" w:rsidR="0058365D" w:rsidRPr="0058365D" w:rsidRDefault="00C71D7B" w:rsidP="00DA529E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58365D">
        <w:rPr>
          <w:rFonts w:ascii="Times New Roman" w:hAnsi="Times New Roman" w:cs="Times New Roman"/>
          <w:i/>
          <w:iCs/>
          <w:sz w:val="24"/>
          <w:szCs w:val="24"/>
          <w:lang w:val="en-US"/>
        </w:rPr>
        <w:t>Results.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NAFLD</w:t>
      </w:r>
      <w:r w:rsidR="0058365D" w:rsidRPr="0058365D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 an </w:t>
      </w:r>
      <w:proofErr w:type="gramStart"/>
      <w:r w:rsidR="0058365D" w:rsidRPr="0058365D">
        <w:rPr>
          <w:rFonts w:ascii="Times New Roman" w:hAnsi="Times New Roman" w:cs="Times New Roman"/>
          <w:color w:val="202124"/>
          <w:sz w:val="24"/>
          <w:szCs w:val="24"/>
          <w:lang w:val="en"/>
        </w:rPr>
        <w:t>actual  global</w:t>
      </w:r>
      <w:proofErr w:type="gramEnd"/>
      <w:r w:rsidR="0058365D" w:rsidRPr="0058365D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 problem in pediatrics, which has a tendency to grow. The diagnosis of NAFLD is a diagnosis of exclusion and involves the presence of clinical</w:t>
      </w:r>
      <w:r w:rsidR="0058365D" w:rsidRPr="0058365D">
        <w:rPr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, </w:t>
      </w:r>
      <w:r w:rsidR="0058365D" w:rsidRPr="0058365D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laboratory and instrumental indicators such as overweight or obesity, increased liver size, changes in serum biomarkers (at least ALT, AST, LF, lipid profile, glucose and insulin levels), ultrasound </w:t>
      </w:r>
      <w:r w:rsidR="0058365D" w:rsidRPr="0058365D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abdominal investigation with </w:t>
      </w:r>
      <w:proofErr w:type="spellStart"/>
      <w:r w:rsidR="0058365D" w:rsidRPr="0058365D">
        <w:rPr>
          <w:rFonts w:ascii="Times New Roman" w:hAnsi="Times New Roman" w:cs="Times New Roman"/>
          <w:color w:val="202124"/>
          <w:sz w:val="24"/>
          <w:szCs w:val="24"/>
          <w:lang w:val="en-US"/>
        </w:rPr>
        <w:t>steatometria</w:t>
      </w:r>
      <w:proofErr w:type="spellEnd"/>
      <w:r w:rsidR="0058365D" w:rsidRPr="0058365D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of the</w:t>
      </w:r>
      <w:r w:rsidR="0058365D" w:rsidRPr="0058365D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 liver. Early diagnosis of this disease is especially important for children with risk factors to prevent severe and irreversible complications of the hepatobiliary system later.</w:t>
      </w:r>
    </w:p>
    <w:p w14:paraId="5AFB1FB5" w14:textId="6EFC491A" w:rsidR="0058365D" w:rsidRPr="0058365D" w:rsidRDefault="00C71D7B" w:rsidP="00DA529E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58365D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Conclusions.</w:t>
      </w:r>
      <w:r w:rsidR="0058365D" w:rsidRPr="0058365D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 The proven relationship between pediatric NAFLD and metabolic risk factors, including insulin resistance, dyslipidemia, obesity, and cardiovascular disease, requires a multidisciplinary approach to the problem in order to diagnose, treat, and avoid disease progression in a timely manner.</w:t>
      </w:r>
    </w:p>
    <w:p w14:paraId="061F38CF" w14:textId="0C64CA2A" w:rsidR="00C71D7B" w:rsidRPr="0058365D" w:rsidRDefault="00C71D7B" w:rsidP="00DA529E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A529E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words: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non-alcoholic fatty liver disease, steatosis, children, adolescen</w:t>
      </w:r>
      <w:r w:rsidR="0058365D"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ts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obesity, metabolic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syndrom</w:t>
      </w:r>
      <w:proofErr w:type="spellEnd"/>
    </w:p>
    <w:p w14:paraId="3CCFE31F" w14:textId="4B39DEA5" w:rsidR="007D380C" w:rsidRPr="00DA529E" w:rsidRDefault="008D50A7" w:rsidP="00DA529E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8F8F8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br/>
      </w:r>
      <w:r w:rsidR="00BB4346" w:rsidRPr="00DA529E">
        <w:rPr>
          <w:rFonts w:ascii="Times New Roman" w:hAnsi="Times New Roman" w:cs="Times New Roman"/>
          <w:b/>
          <w:sz w:val="24"/>
          <w:szCs w:val="24"/>
          <w:shd w:val="clear" w:color="auto" w:fill="F8F8F8"/>
          <w:lang w:val="uk-UA"/>
        </w:rPr>
        <w:t>Вступ</w:t>
      </w:r>
    </w:p>
    <w:p w14:paraId="3B8F5495" w14:textId="50AAA02E" w:rsidR="00A1170B" w:rsidRPr="0058365D" w:rsidRDefault="00305FE7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Неалкогольна жирова хвороба печінки</w:t>
      </w:r>
      <w:r w:rsidR="00B13B87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(Н</w:t>
      </w:r>
      <w:r w:rsidR="00B654CE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А</w:t>
      </w:r>
      <w:r w:rsidR="00B13B87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ЖХП)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– клініко-патологічний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синдромокомплекс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, що включає гетерогенну групу захворювань печінки, спектр яких сягає від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стеатозу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печінки (акумуляція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триацилгліцеролів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у печінці більша 5</w:t>
      </w:r>
      <w:r w:rsidR="00D0560D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% її маси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)</w:t>
      </w:r>
      <w:r w:rsidR="00D0560D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, </w:t>
      </w:r>
      <w:proofErr w:type="spellStart"/>
      <w:r w:rsidR="00D0560D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стеатогепатиту</w:t>
      </w:r>
      <w:proofErr w:type="spellEnd"/>
      <w:r w:rsidR="00D0560D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(загальна інфільтрація різного ступеня на тлі жирової дистрофії гепатоцитів), фіброзу до цирозу печінки </w:t>
      </w:r>
      <w:bookmarkStart w:id="3" w:name="_Hlk77031939"/>
      <w:r w:rsidR="00B80094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[1]</w:t>
      </w:r>
      <w:bookmarkEnd w:id="3"/>
      <w:r w:rsidR="00D0560D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.</w:t>
      </w:r>
      <w:r w:rsidR="00F13142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Інформація про дане захворювання починається з 1845 року, коли </w:t>
      </w:r>
      <w:proofErr w:type="spellStart"/>
      <w:r w:rsidR="00F13142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Адісон</w:t>
      </w:r>
      <w:proofErr w:type="spellEnd"/>
      <w:r w:rsidR="00F13142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вперше згадує про жирову інфільтрацію печінки. </w:t>
      </w:r>
      <w:r w:rsidR="00B13B87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В 1980 році </w:t>
      </w:r>
      <w:r w:rsidR="00B13B87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Ludwig</w:t>
      </w:r>
      <w:r w:rsidR="00B13B87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та </w:t>
      </w:r>
      <w:proofErr w:type="spellStart"/>
      <w:r w:rsidR="00B13B87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співавт</w:t>
      </w:r>
      <w:proofErr w:type="spellEnd"/>
      <w:r w:rsidR="00B13B87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.  запропонували термін неалкогольний </w:t>
      </w:r>
      <w:proofErr w:type="spellStart"/>
      <w:r w:rsidR="00B13B87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стеатогепатит</w:t>
      </w:r>
      <w:proofErr w:type="spellEnd"/>
      <w:r w:rsidR="00B13B87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(НАСГ)</w:t>
      </w:r>
      <w:r w:rsidR="000A2146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[</w:t>
      </w:r>
      <w:r w:rsidR="000A2146" w:rsidRPr="0058365D">
        <w:rPr>
          <w:rFonts w:ascii="Times New Roman" w:hAnsi="Times New Roman" w:cs="Times New Roman"/>
          <w:sz w:val="24"/>
          <w:szCs w:val="24"/>
          <w:shd w:val="clear" w:color="auto" w:fill="F8F8F8"/>
        </w:rPr>
        <w:t>1</w:t>
      </w:r>
      <w:r w:rsidR="00BB4346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, 9</w:t>
      </w:r>
      <w:r w:rsidR="000A2146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]</w:t>
      </w:r>
      <w:r w:rsidR="000A2146" w:rsidRPr="0058365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. </w:t>
      </w:r>
      <w:r w:rsidR="00B13B87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</w:t>
      </w:r>
      <w:r w:rsidR="00F13142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В 1986 році </w:t>
      </w:r>
      <w:r w:rsidR="00F13142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Schaffner</w:t>
      </w:r>
      <w:r w:rsidR="00F13142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і </w:t>
      </w:r>
      <w:r w:rsidR="00F13142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Thaler</w:t>
      </w:r>
      <w:r w:rsidR="00B13B87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вперше впровадили назву «неалкогольна жирова хвороба печінки».</w:t>
      </w:r>
      <w:r w:rsidR="000E75F4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</w:t>
      </w:r>
      <w:r w:rsidR="00F13142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В 2020 році інтернаціональним консенсусом, який складався із представників 22 країн світу дається нове визначення </w:t>
      </w:r>
      <w:r w:rsidR="00AF3513" w:rsidRPr="0058365D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AF3513" w:rsidRPr="0058365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D0560D" w:rsidRPr="0058365D">
        <w:rPr>
          <w:rFonts w:ascii="Times New Roman" w:hAnsi="Times New Roman" w:cs="Times New Roman"/>
          <w:sz w:val="24"/>
          <w:szCs w:val="24"/>
          <w:lang w:val="uk-UA"/>
        </w:rPr>
        <w:t>етаболічно</w:t>
      </w:r>
      <w:proofErr w:type="spellEnd"/>
      <w:r w:rsidR="00B13B87" w:rsidRPr="0058365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560D" w:rsidRPr="0058365D">
        <w:rPr>
          <w:rFonts w:ascii="Times New Roman" w:hAnsi="Times New Roman" w:cs="Times New Roman"/>
          <w:sz w:val="24"/>
          <w:szCs w:val="24"/>
          <w:lang w:val="uk-UA"/>
        </w:rPr>
        <w:t>асоційована неалкогольна жирова хвороба печінки</w:t>
      </w:r>
      <w:r w:rsidR="00AF3513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B13B87" w:rsidRPr="0058365D">
        <w:rPr>
          <w:rFonts w:ascii="Times New Roman" w:hAnsi="Times New Roman" w:cs="Times New Roman"/>
          <w:sz w:val="24"/>
          <w:szCs w:val="24"/>
          <w:lang w:val="uk-UA"/>
        </w:rPr>
        <w:t>(МАЖХП)</w:t>
      </w:r>
      <w:r w:rsidR="00F13142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, яке базується на наявності </w:t>
      </w:r>
      <w:proofErr w:type="spellStart"/>
      <w:r w:rsidR="00F13142" w:rsidRPr="0058365D">
        <w:rPr>
          <w:rFonts w:ascii="Times New Roman" w:hAnsi="Times New Roman" w:cs="Times New Roman"/>
          <w:sz w:val="24"/>
          <w:szCs w:val="24"/>
          <w:lang w:val="uk-UA"/>
        </w:rPr>
        <w:t>стеатозу</w:t>
      </w:r>
      <w:proofErr w:type="spellEnd"/>
      <w:r w:rsidR="00F13142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F13142" w:rsidRPr="005836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одного із  критеріїв - </w:t>
      </w:r>
      <w:r w:rsidR="00AF3513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F13142" w:rsidRPr="0058365D">
        <w:rPr>
          <w:rFonts w:ascii="Times New Roman" w:hAnsi="Times New Roman" w:cs="Times New Roman"/>
          <w:sz w:val="24"/>
          <w:szCs w:val="24"/>
          <w:lang w:val="uk-UA"/>
        </w:rPr>
        <w:t>жиріння, надмірна вага, ЦД 2 типу</w:t>
      </w:r>
      <w:r w:rsidR="00844C36" w:rsidRPr="0058365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13142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метаболічн</w:t>
      </w:r>
      <w:r w:rsidR="00AF3513" w:rsidRPr="0058365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13142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змін</w:t>
      </w:r>
      <w:r w:rsidR="00AF3513" w:rsidRPr="0058365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44C36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 і дозволяє підкреслити системність та багатофакторність патогенезу захворювання</w:t>
      </w:r>
      <w:r w:rsidR="00AF3513" w:rsidRPr="005836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9E0636F" w14:textId="2A1FB9D1" w:rsidR="00B654CE" w:rsidRPr="0058365D" w:rsidRDefault="00844C36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Найбільша кількість пацієнтів </w:t>
      </w:r>
      <w:r w:rsidR="00B6245D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з даною патологією 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>за даними мета-аналіз</w:t>
      </w:r>
      <w:r w:rsidR="00B6245D" w:rsidRPr="0058365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(85 досліджень, понад 8 млн пацієнтів) реєструється в Південній Америці, Азії та європейських країнах </w:t>
      </w:r>
      <w:r w:rsidR="002B449E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[10]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654CE" w:rsidRPr="0058365D">
        <w:rPr>
          <w:rFonts w:ascii="Times New Roman" w:hAnsi="Times New Roman" w:cs="Times New Roman"/>
          <w:sz w:val="24"/>
          <w:szCs w:val="24"/>
          <w:lang w:val="uk-UA"/>
        </w:rPr>
        <w:t>Поширеність НАЖХП у дитячій популяції за останні десятиліття постійно збільшується, зокрема, за даними ВООЗ  у дітей з ожирінням у віці від 5 до 18 років, які проживають на території Європейського Союзу, жирова дегенерація печінки визначалася у 27,9 % випадків</w:t>
      </w:r>
      <w:r w:rsidR="002B449E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449E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[7</w:t>
      </w:r>
      <w:r w:rsidR="00BB4346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, 19</w:t>
      </w:r>
      <w:r w:rsidR="002B449E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]. </w:t>
      </w:r>
      <w:r w:rsidR="00121788" w:rsidRPr="0058365D">
        <w:rPr>
          <w:rFonts w:ascii="Times New Roman" w:hAnsi="Times New Roman" w:cs="Times New Roman"/>
          <w:sz w:val="24"/>
          <w:szCs w:val="24"/>
          <w:lang w:val="uk-UA"/>
        </w:rPr>
        <w:t>В Україні, на жаль, відсутні статистичні дані щодо поширеності НАЖХП в загальній дитячій популяції</w:t>
      </w:r>
      <w:r w:rsidR="0004485E" w:rsidRPr="005836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E739AF" w14:textId="77777777" w:rsidR="007D380C" w:rsidRPr="00DA529E" w:rsidRDefault="00BB4346" w:rsidP="00DA52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529E">
        <w:rPr>
          <w:rFonts w:ascii="Times New Roman" w:hAnsi="Times New Roman" w:cs="Times New Roman"/>
          <w:b/>
          <w:sz w:val="24"/>
          <w:szCs w:val="24"/>
          <w:lang w:val="uk-UA"/>
        </w:rPr>
        <w:t>Мета</w:t>
      </w:r>
    </w:p>
    <w:p w14:paraId="12CEDB4E" w14:textId="6588EAF5" w:rsidR="00C54653" w:rsidRPr="0058365D" w:rsidRDefault="007D380C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BB4346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цінити існуючі патогенетичні та клінічні  прояви НАЖХП, </w:t>
      </w:r>
      <w:r w:rsidR="00C54653" w:rsidRPr="0058365D">
        <w:rPr>
          <w:rFonts w:ascii="Times New Roman" w:hAnsi="Times New Roman" w:cs="Times New Roman"/>
          <w:sz w:val="24"/>
          <w:szCs w:val="24"/>
          <w:lang w:val="uk-UA"/>
        </w:rPr>
        <w:t>висвітлити основні діагностичні критерії НАЖХП у дітей та підлітків на сучасному етапі.</w:t>
      </w:r>
    </w:p>
    <w:p w14:paraId="685839FE" w14:textId="77777777" w:rsidR="007D380C" w:rsidRPr="00DA529E" w:rsidRDefault="00C54653" w:rsidP="00DA52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A52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Результати</w:t>
      </w:r>
      <w:r w:rsidR="007D380C" w:rsidRPr="00DA52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досліджень</w:t>
      </w:r>
    </w:p>
    <w:p w14:paraId="42450E96" w14:textId="4E2B25DC" w:rsidR="006875BA" w:rsidRPr="0058365D" w:rsidRDefault="00C54653" w:rsidP="00DA52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875BA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НАЖБП частіше зустрічається у хлопчиків, ніж у </w:t>
      </w:r>
      <w:proofErr w:type="spellStart"/>
      <w:r w:rsidR="006875BA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дівчаток</w:t>
      </w:r>
      <w:proofErr w:type="spellEnd"/>
      <w:r w:rsidR="002B449E" w:rsidRPr="0058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9E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[</w:t>
      </w:r>
      <w:r w:rsidR="002B449E" w:rsidRPr="0058365D">
        <w:rPr>
          <w:rFonts w:ascii="Times New Roman" w:hAnsi="Times New Roman" w:cs="Times New Roman"/>
          <w:sz w:val="24"/>
          <w:szCs w:val="24"/>
          <w:shd w:val="clear" w:color="auto" w:fill="F8F8F8"/>
        </w:rPr>
        <w:t>17</w:t>
      </w:r>
      <w:r w:rsidR="002B449E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]</w:t>
      </w:r>
      <w:r w:rsidR="002B449E" w:rsidRPr="0058365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. </w:t>
      </w:r>
      <w:r w:rsidR="006875BA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Ці статеві відмінності обумовлені тим, що андрогени не роблять протекторної дії, а за деякими даними, навіть можуть сприяти прогресуванню НАЖБП. Ожиріння печінки у підлітків зустрічається частіше, ніж у дітей молодшого віку, що </w:t>
      </w:r>
      <w:r w:rsidR="002B449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зумовлено</w:t>
      </w:r>
      <w:r w:rsidR="006875BA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інтенсивними гормональними змінами в організмі </w:t>
      </w:r>
      <w:proofErr w:type="spellStart"/>
      <w:r w:rsidR="006875BA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підлітка</w:t>
      </w:r>
      <w:proofErr w:type="spellEnd"/>
      <w:r w:rsidR="006875BA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порушеннями харчування, недостатньою фізичною активністю [</w:t>
      </w:r>
      <w:r w:rsidR="002B449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6875BA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].</w:t>
      </w:r>
      <w:r w:rsidR="002B449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 н</w:t>
      </w:r>
      <w:r w:rsidR="006875BA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ещодавно проведене епідеміологічне дослідження виявило особливості сімейної схильності до НАЖБП. Виявилося, що ранній початок ожиріння у батьк</w:t>
      </w:r>
      <w:r w:rsidR="002B449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="006875BA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підвищує ризик розвитку НАЖБП у дітей [</w:t>
      </w:r>
      <w:r w:rsidR="00BB4346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3, </w:t>
      </w:r>
      <w:r w:rsidR="005C34B5" w:rsidRPr="0058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11, </w:t>
      </w:r>
      <w:r w:rsidR="002B449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="006875BA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].</w:t>
      </w:r>
    </w:p>
    <w:p w14:paraId="57CDF596" w14:textId="6A65A583" w:rsidR="00CB1C6B" w:rsidRPr="0058365D" w:rsidRDefault="00CB1C6B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>Серед факторів</w:t>
      </w:r>
      <w:r w:rsidR="0004485E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ризику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9149A" w:rsidRPr="0058365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ровідними </w:t>
      </w:r>
      <w:r w:rsidR="005C34B5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первинними 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>факторами ризику розвитку НАЖХП</w:t>
      </w:r>
      <w:r w:rsidR="00152356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у дітей вважаються ожиріння та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/>
        </w:rPr>
        <w:t>інсулінорезистентність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2B449E" w:rsidRPr="0058365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152356" w:rsidRPr="0058365D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5C34B5" w:rsidRPr="0058365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52356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розвивається під впливом генетичних і набутих факторів, особливо абдомінального ожиріння. Нечутливість тканин організму до дії інсуліну призводить до надмірного вступу вільних жирних кислот в печінку, посиленому </w:t>
      </w:r>
      <w:proofErr w:type="spellStart"/>
      <w:r w:rsidR="00152356" w:rsidRPr="0058365D">
        <w:rPr>
          <w:rFonts w:ascii="Times New Roman" w:hAnsi="Times New Roman" w:cs="Times New Roman"/>
          <w:sz w:val="24"/>
          <w:szCs w:val="24"/>
          <w:lang w:val="uk-UA"/>
        </w:rPr>
        <w:t>ліпогенезу</w:t>
      </w:r>
      <w:proofErr w:type="spellEnd"/>
      <w:r w:rsidR="00152356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в гепатоцитах і розвитку </w:t>
      </w:r>
      <w:proofErr w:type="spellStart"/>
      <w:r w:rsidR="00152356" w:rsidRPr="0058365D">
        <w:rPr>
          <w:rFonts w:ascii="Times New Roman" w:hAnsi="Times New Roman" w:cs="Times New Roman"/>
          <w:sz w:val="24"/>
          <w:szCs w:val="24"/>
          <w:lang w:val="uk-UA"/>
        </w:rPr>
        <w:t>стеатозу</w:t>
      </w:r>
      <w:proofErr w:type="spellEnd"/>
      <w:r w:rsidR="00152356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печінки</w:t>
      </w:r>
      <w:r w:rsidR="005C34B5" w:rsidRPr="0058365D">
        <w:rPr>
          <w:rFonts w:ascii="Times New Roman" w:hAnsi="Times New Roman" w:cs="Times New Roman"/>
          <w:sz w:val="24"/>
          <w:szCs w:val="24"/>
        </w:rPr>
        <w:t xml:space="preserve"> </w:t>
      </w:r>
      <w:r w:rsidR="005C34B5" w:rsidRPr="0058365D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5C34B5" w:rsidRPr="0058365D">
        <w:rPr>
          <w:rFonts w:ascii="Times New Roman" w:hAnsi="Times New Roman" w:cs="Times New Roman"/>
          <w:sz w:val="24"/>
          <w:szCs w:val="24"/>
        </w:rPr>
        <w:t xml:space="preserve">11, </w:t>
      </w:r>
      <w:r w:rsidR="005C34B5" w:rsidRPr="0058365D">
        <w:rPr>
          <w:rFonts w:ascii="Times New Roman" w:hAnsi="Times New Roman" w:cs="Times New Roman"/>
          <w:sz w:val="24"/>
          <w:szCs w:val="24"/>
          <w:lang w:val="uk-UA"/>
        </w:rPr>
        <w:t>17]</w:t>
      </w:r>
      <w:r w:rsidR="00152356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5C34B5" w:rsidRPr="0058365D">
        <w:rPr>
          <w:rFonts w:ascii="Times New Roman" w:hAnsi="Times New Roman" w:cs="Times New Roman"/>
          <w:sz w:val="24"/>
          <w:szCs w:val="24"/>
        </w:rPr>
        <w:t>Визнано</w:t>
      </w:r>
      <w:proofErr w:type="spellEnd"/>
      <w:r w:rsidR="005C34B5" w:rsidRPr="00583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34B5" w:rsidRPr="0058365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5C34B5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4B5" w:rsidRPr="0058365D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="005C34B5" w:rsidRPr="005836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C34B5" w:rsidRPr="0058365D">
        <w:rPr>
          <w:rFonts w:ascii="Times New Roman" w:hAnsi="Times New Roman" w:cs="Times New Roman"/>
          <w:sz w:val="24"/>
          <w:szCs w:val="24"/>
        </w:rPr>
        <w:t>прогресування</w:t>
      </w:r>
      <w:proofErr w:type="spellEnd"/>
      <w:r w:rsidR="005C34B5" w:rsidRPr="0058365D">
        <w:rPr>
          <w:rFonts w:ascii="Times New Roman" w:hAnsi="Times New Roman" w:cs="Times New Roman"/>
          <w:sz w:val="24"/>
          <w:szCs w:val="24"/>
        </w:rPr>
        <w:t xml:space="preserve"> НАЖХП </w:t>
      </w:r>
      <w:proofErr w:type="spellStart"/>
      <w:r w:rsidR="005C34B5" w:rsidRPr="0058365D">
        <w:rPr>
          <w:rFonts w:ascii="Times New Roman" w:hAnsi="Times New Roman" w:cs="Times New Roman"/>
          <w:sz w:val="24"/>
          <w:szCs w:val="24"/>
        </w:rPr>
        <w:t>асоціюється</w:t>
      </w:r>
      <w:proofErr w:type="spellEnd"/>
      <w:r w:rsidR="005C34B5" w:rsidRPr="0058365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5C34B5" w:rsidRPr="0058365D">
        <w:rPr>
          <w:rFonts w:ascii="Times New Roman" w:hAnsi="Times New Roman" w:cs="Times New Roman"/>
          <w:sz w:val="24"/>
          <w:szCs w:val="24"/>
        </w:rPr>
        <w:t>певними</w:t>
      </w:r>
      <w:proofErr w:type="spellEnd"/>
      <w:r w:rsidR="005C34B5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4B5" w:rsidRPr="0058365D">
        <w:rPr>
          <w:rFonts w:ascii="Times New Roman" w:hAnsi="Times New Roman" w:cs="Times New Roman"/>
          <w:sz w:val="24"/>
          <w:szCs w:val="24"/>
        </w:rPr>
        <w:t>індивідуальними</w:t>
      </w:r>
      <w:proofErr w:type="spellEnd"/>
      <w:r w:rsidR="005C34B5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4B5" w:rsidRPr="0058365D">
        <w:rPr>
          <w:rFonts w:ascii="Times New Roman" w:hAnsi="Times New Roman" w:cs="Times New Roman"/>
          <w:sz w:val="24"/>
          <w:szCs w:val="24"/>
        </w:rPr>
        <w:t>особливостями</w:t>
      </w:r>
      <w:proofErr w:type="spellEnd"/>
      <w:r w:rsidR="005C34B5" w:rsidRPr="0058365D">
        <w:rPr>
          <w:rFonts w:ascii="Times New Roman" w:hAnsi="Times New Roman" w:cs="Times New Roman"/>
          <w:sz w:val="24"/>
          <w:szCs w:val="24"/>
        </w:rPr>
        <w:t xml:space="preserve"> геному</w:t>
      </w:r>
      <w:r w:rsidR="005C34B5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34B5" w:rsidRPr="00583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[</w:t>
      </w:r>
      <w:r w:rsidR="005C34B5"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3, 8</w:t>
      </w:r>
      <w:r w:rsidR="005C34B5" w:rsidRPr="00583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]</w:t>
      </w:r>
      <w:r w:rsidR="005C34B5"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</w:t>
      </w:r>
      <w:r w:rsidR="005C34B5" w:rsidRPr="0058365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бтяженість сімейного анамнезу щодо ожиріння, НАЖХП, цукрового діабету 2-го типу підвищує ризик формування НАЖХП у дітей. </w:t>
      </w:r>
      <w:r w:rsidRPr="00381678">
        <w:rPr>
          <w:rFonts w:ascii="Times New Roman" w:hAnsi="Times New Roman" w:cs="Times New Roman"/>
          <w:sz w:val="24"/>
          <w:szCs w:val="24"/>
          <w:lang w:val="uk-UA"/>
        </w:rPr>
        <w:t xml:space="preserve">У дослідженні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Jeffrey</w:t>
      </w:r>
      <w:proofErr w:type="spellEnd"/>
      <w:r w:rsidRPr="003816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365D">
        <w:rPr>
          <w:rFonts w:ascii="Times New Roman" w:hAnsi="Times New Roman" w:cs="Times New Roman"/>
          <w:sz w:val="24"/>
          <w:szCs w:val="24"/>
        </w:rPr>
        <w:t>B</w:t>
      </w:r>
      <w:r w:rsidRPr="003816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Schwimmer</w:t>
      </w:r>
      <w:proofErr w:type="spellEnd"/>
      <w:r w:rsidRPr="00381678">
        <w:rPr>
          <w:rFonts w:ascii="Times New Roman" w:hAnsi="Times New Roman" w:cs="Times New Roman"/>
          <w:sz w:val="24"/>
          <w:szCs w:val="24"/>
          <w:lang w:val="uk-UA"/>
        </w:rPr>
        <w:t xml:space="preserve"> й співавт. [</w:t>
      </w:r>
      <w:r w:rsidR="002B449E" w:rsidRPr="0058365D">
        <w:rPr>
          <w:rFonts w:ascii="Times New Roman" w:hAnsi="Times New Roman" w:cs="Times New Roman"/>
          <w:sz w:val="24"/>
          <w:szCs w:val="24"/>
          <w:lang w:val="uk-UA"/>
        </w:rPr>
        <w:t>2, 4</w:t>
      </w:r>
      <w:r w:rsidRPr="00381678">
        <w:rPr>
          <w:rFonts w:ascii="Times New Roman" w:hAnsi="Times New Roman" w:cs="Times New Roman"/>
          <w:sz w:val="24"/>
          <w:szCs w:val="24"/>
          <w:lang w:val="uk-UA"/>
        </w:rPr>
        <w:t>] продемонстровано, що в 78</w:t>
      </w:r>
      <w:r w:rsidRPr="0058365D">
        <w:rPr>
          <w:rFonts w:ascii="Times New Roman" w:hAnsi="Times New Roman" w:cs="Times New Roman"/>
          <w:sz w:val="24"/>
          <w:szCs w:val="24"/>
        </w:rPr>
        <w:t> </w:t>
      </w:r>
      <w:r w:rsidRPr="00381678">
        <w:rPr>
          <w:rFonts w:ascii="Times New Roman" w:hAnsi="Times New Roman" w:cs="Times New Roman"/>
          <w:sz w:val="24"/>
          <w:szCs w:val="24"/>
          <w:lang w:val="uk-UA"/>
        </w:rPr>
        <w:t>% батьків та 59 % сиблінгів дітей з НАЖХП також виявляється жирова дистрофія печінки й захворювання характеризується високим рівнем успадкування</w:t>
      </w:r>
      <w:r w:rsidR="002B449E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449E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[8].</w:t>
      </w:r>
      <w:r w:rsidRPr="003816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Низька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вага при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народженні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асоціюється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раннім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ожирінням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є предиктором НАЖХП [</w:t>
      </w:r>
      <w:r w:rsidR="002B449E" w:rsidRPr="0058365D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58365D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135352DD" w14:textId="68648979" w:rsidR="00CB1C6B" w:rsidRPr="0058365D" w:rsidRDefault="005C34B5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lastRenderedPageBreak/>
        <w:t>П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евні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дієтичні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надмірне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вуглеводів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фруктози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сахарози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, дисбаланс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омега-6 та омега-3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поліненасиченими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кислотами в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раціоні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сприяють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розвиткові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НАЖХП.</w:t>
      </w:r>
    </w:p>
    <w:p w14:paraId="20ECF430" w14:textId="443387BD" w:rsidR="00846E11" w:rsidRPr="0058365D" w:rsidRDefault="00846E11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Вторинна НАЖХП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/>
        </w:rPr>
        <w:t>розвивиається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при  порушенні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процесів травлення і всмоктування в </w:t>
      </w:r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результаті захворювання підшлункової залози, синдрому </w:t>
      </w:r>
      <w:proofErr w:type="spellStart"/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мальабсорбції</w:t>
      </w:r>
      <w:proofErr w:type="spellEnd"/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недостатн</w:t>
      </w:r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ього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>, надлишков</w:t>
      </w:r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ого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>, а також парентеральн</w:t>
      </w:r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ого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харчування</w:t>
      </w:r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; 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ендокринн</w:t>
      </w:r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их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захворювання</w:t>
      </w:r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х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і порушення</w:t>
      </w:r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х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обміну речовин (гіпотиреоз, синдром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Кушинга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ін.);</w:t>
      </w:r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>інфекційн</w:t>
      </w:r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их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запальн</w:t>
      </w:r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их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захворювання</w:t>
      </w:r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х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органів травної системи (виразковий коліт, хвороба Крона, надлишковий бактеріальний ріст в тонкій кишці, туберкульоз, хронічний вірусний гепатит С та ін.);</w:t>
      </w:r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  <w:r w:rsidR="007E57FA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дії</w:t>
      </w:r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гепатотоксичних</w:t>
      </w:r>
      <w:proofErr w:type="spellEnd"/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сполук</w:t>
      </w:r>
      <w:proofErr w:type="spellEnd"/>
      <w:r w:rsidR="00EB5E0C"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тетрацикліну,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метотрексату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глюкокортикоїдів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синтетичних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естрогенів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і ін.; хімічних речовин </w:t>
      </w:r>
      <w:r w:rsidR="007E57FA"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>фітотокс</w:t>
      </w:r>
      <w:r w:rsidR="007E57FA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инів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>, токсин</w:t>
      </w:r>
      <w:r w:rsidR="007E57FA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ів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грибів,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>сполук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ртуті, органічн</w:t>
      </w:r>
      <w:r w:rsidR="007E57FA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их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розчинники і ін.);</w:t>
      </w:r>
      <w:r w:rsidR="007E57FA"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>спадков</w:t>
      </w:r>
      <w:r w:rsidR="007E57FA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их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і метаболічн</w:t>
      </w:r>
      <w:r w:rsidR="007E57FA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их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захворювання</w:t>
      </w:r>
      <w:r w:rsidR="007E57FA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х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абеталіпопротеінемія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галактоземія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>, хвороба накопичення глікогену, хвороба Вільсона -</w:t>
      </w:r>
      <w:r w:rsidR="005C34B5"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Коновалова і Вебера -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>Крісчен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і ін.) [</w:t>
      </w:r>
      <w:r w:rsidR="00E82C31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1</w:t>
      </w:r>
      <w:r w:rsidR="005C34B5" w:rsidRPr="0058365D">
        <w:rPr>
          <w:rFonts w:ascii="Times New Roman" w:hAnsi="Times New Roman" w:cs="Times New Roman"/>
          <w:sz w:val="24"/>
          <w:szCs w:val="24"/>
          <w:lang w:val="uk-UA" w:eastAsia="ru-RU"/>
        </w:rPr>
        <w:t>5</w:t>
      </w:r>
      <w:r w:rsidRPr="0058365D">
        <w:rPr>
          <w:rFonts w:ascii="Times New Roman" w:hAnsi="Times New Roman" w:cs="Times New Roman"/>
          <w:sz w:val="24"/>
          <w:szCs w:val="24"/>
          <w:lang w:val="uk-UA" w:eastAsia="ru-RU"/>
        </w:rPr>
        <w:t>].</w:t>
      </w:r>
    </w:p>
    <w:p w14:paraId="55A1BBB6" w14:textId="77777777" w:rsidR="005C34B5" w:rsidRPr="0058365D" w:rsidRDefault="00CB1C6B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Механізм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прогресування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НАЖХП є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складним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багатофакторним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процесом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даний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існують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провідні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пояснюють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патогенез НАЖХП, —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теорія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ударів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теорія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паралельних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ударів</w:t>
      </w:r>
      <w:proofErr w:type="spellEnd"/>
      <w:r w:rsidR="005C34B5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34B5" w:rsidRPr="00583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[</w:t>
      </w:r>
      <w:r w:rsidR="005C34B5"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16</w:t>
      </w:r>
      <w:r w:rsidR="005C34B5" w:rsidRPr="00583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]</w:t>
      </w:r>
      <w:r w:rsidRPr="0058365D">
        <w:rPr>
          <w:rFonts w:ascii="Times New Roman" w:hAnsi="Times New Roman" w:cs="Times New Roman"/>
          <w:sz w:val="24"/>
          <w:szCs w:val="24"/>
        </w:rPr>
        <w:t>.</w:t>
      </w:r>
      <w:r w:rsidR="005C34B5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Перший удар (морфологічно — жирова дистрофія або простий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/>
        </w:rPr>
        <w:t>стеатоз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>) призводить до акумуляції ліпідів у гепатоцитах</w:t>
      </w:r>
      <w:r w:rsidR="005C34B5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завдяки основним механізмам:</w:t>
      </w:r>
    </w:p>
    <w:p w14:paraId="7E4FC989" w14:textId="4B37F214" w:rsidR="00CB1C6B" w:rsidRPr="0058365D" w:rsidRDefault="005C34B5" w:rsidP="00DA5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B1C6B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надмірне надходження вільних жирних кислот унаслідок підсиленого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  <w:lang w:val="uk-UA"/>
        </w:rPr>
        <w:t>ліполізу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5F3997C" w14:textId="1D93376D" w:rsidR="00CB1C6B" w:rsidRPr="0058365D" w:rsidRDefault="005C34B5" w:rsidP="00DA5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оксидації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вільних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жирних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кислот у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печінці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>;</w:t>
      </w:r>
    </w:p>
    <w:p w14:paraId="7D5408AE" w14:textId="439A569A" w:rsidR="00CB1C6B" w:rsidRPr="0058365D" w:rsidRDefault="005C34B5" w:rsidP="00DA5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печінкового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ліпогенезу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>;</w:t>
      </w:r>
    </w:p>
    <w:p w14:paraId="1BDDE4DD" w14:textId="60BE3F52" w:rsidR="00CB1C6B" w:rsidRPr="0058365D" w:rsidRDefault="005C34B5" w:rsidP="00DA5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пригнічення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секреції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гепатоцитами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ліпопротеїдів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низької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щільності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>.</w:t>
      </w:r>
    </w:p>
    <w:p w14:paraId="2AA1AA42" w14:textId="422A8CED" w:rsidR="00CB1C6B" w:rsidRPr="0058365D" w:rsidRDefault="00BB4346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>Другий удар</w:t>
      </w:r>
      <w:r w:rsidR="00CB1C6B" w:rsidRPr="005836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морфологічно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стеатогепатит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) 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>- це</w:t>
      </w:r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оксидативного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стресу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мітохондріальної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дисфункції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гепатоцитів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накопиченн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ліпотоксичних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метаболітів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жирних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кислот і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вільних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активних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радикалів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кисню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та азоту.</w:t>
      </w:r>
    </w:p>
    <w:p w14:paraId="170D73C1" w14:textId="6040977C" w:rsidR="00CB1C6B" w:rsidRPr="0058365D" w:rsidRDefault="00BB4346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еорі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паралельних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ударів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прогресування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стеатозу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стеатогепатит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генетично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схильних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індивідуумів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унаслідок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системної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локальної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запальної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паренхімі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печінки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Тригерами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запалення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провідну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відіграють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адипоцитокіни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сигнали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інтестинального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1C6B" w:rsidRPr="0058365D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 [</w:t>
      </w:r>
      <w:proofErr w:type="gramEnd"/>
      <w:r w:rsidRPr="0058365D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CB1C6B" w:rsidRPr="0058365D">
        <w:rPr>
          <w:rFonts w:ascii="Times New Roman" w:hAnsi="Times New Roman" w:cs="Times New Roman"/>
          <w:sz w:val="24"/>
          <w:szCs w:val="24"/>
        </w:rPr>
        <w:t>].</w:t>
      </w:r>
    </w:p>
    <w:p w14:paraId="6EBCD468" w14:textId="487DA601" w:rsidR="0044232D" w:rsidRPr="0058365D" w:rsidRDefault="0044232D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стеатозу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універсальною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реакцією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різноманітних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ендо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- та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екзогенних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чинників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уточнення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етіологічного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фактора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повинно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займати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lastRenderedPageBreak/>
        <w:t>провідне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діагностиці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захворювання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Установлення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діагнозу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НАЖХП є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можливим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ураження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печінки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вірусного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автоімунного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й медикаментозно </w:t>
      </w:r>
      <w:proofErr w:type="spellStart"/>
      <w:r w:rsidRPr="0058365D">
        <w:rPr>
          <w:rFonts w:ascii="Times New Roman" w:hAnsi="Times New Roman" w:cs="Times New Roman"/>
          <w:sz w:val="24"/>
          <w:szCs w:val="24"/>
        </w:rPr>
        <w:t>індукованого</w:t>
      </w:r>
      <w:proofErr w:type="spellEnd"/>
      <w:r w:rsidRPr="0058365D">
        <w:rPr>
          <w:rFonts w:ascii="Times New Roman" w:hAnsi="Times New Roman" w:cs="Times New Roman"/>
          <w:sz w:val="24"/>
          <w:szCs w:val="24"/>
        </w:rPr>
        <w:t xml:space="preserve"> гепатиту</w:t>
      </w:r>
      <w:r w:rsidR="004475AE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5AE" w:rsidRPr="0058365D">
        <w:rPr>
          <w:rFonts w:ascii="Times New Roman" w:hAnsi="Times New Roman" w:cs="Times New Roman"/>
          <w:sz w:val="24"/>
          <w:szCs w:val="24"/>
        </w:rPr>
        <w:t>[</w:t>
      </w:r>
      <w:r w:rsidR="004475AE" w:rsidRPr="0058365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475AE" w:rsidRPr="0058365D">
        <w:rPr>
          <w:rFonts w:ascii="Times New Roman" w:hAnsi="Times New Roman" w:cs="Times New Roman"/>
          <w:sz w:val="24"/>
          <w:szCs w:val="24"/>
        </w:rPr>
        <w:t>]</w:t>
      </w:r>
      <w:r w:rsidR="004475AE" w:rsidRPr="005836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2704F02" w14:textId="2900604B" w:rsidR="00B654CE" w:rsidRPr="0058365D" w:rsidRDefault="0044232D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Діагноз НАЖХП базується перш за все на клінічних знахідках, лабораторних тестах, </w:t>
      </w:r>
      <w:r w:rsidR="00C04CA3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інструментальних 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методах візуалізації і </w:t>
      </w:r>
      <w:r w:rsidR="00C04CA3" w:rsidRPr="0058365D">
        <w:rPr>
          <w:rFonts w:ascii="Times New Roman" w:hAnsi="Times New Roman" w:cs="Times New Roman"/>
          <w:sz w:val="24"/>
          <w:szCs w:val="24"/>
          <w:lang w:val="uk-UA"/>
        </w:rPr>
        <w:t>біопсії печінки, яка вважається золотим стандартом діагностики</w:t>
      </w:r>
      <w:r w:rsidR="004475AE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[8]. </w:t>
      </w:r>
      <w:r w:rsidR="00CB1C6B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НАЖХП у дітей не має певних клінічних ознак і є випадковою знахідкою в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  <w:lang w:val="uk-UA"/>
        </w:rPr>
        <w:t>асимптомних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пацієнтів. </w:t>
      </w:r>
      <w:r w:rsidR="00CB1C6B" w:rsidRPr="00381678">
        <w:rPr>
          <w:rFonts w:ascii="Times New Roman" w:hAnsi="Times New Roman" w:cs="Times New Roman"/>
          <w:sz w:val="24"/>
          <w:szCs w:val="24"/>
          <w:lang w:val="uk-UA"/>
        </w:rPr>
        <w:t xml:space="preserve">Маніфестація захворювання найчастіше відбувається у віці понад 10 років. У клінічній картині НАЖХП у дітей превалюють неспецифічні симптоми: загальна слабкість, швидка втомлюваність, виснажливість. </w:t>
      </w:r>
      <w:r w:rsidR="00CB1C6B" w:rsidRPr="0058365D">
        <w:rPr>
          <w:rFonts w:ascii="Times New Roman" w:hAnsi="Times New Roman" w:cs="Times New Roman"/>
          <w:sz w:val="24"/>
          <w:szCs w:val="24"/>
        </w:rPr>
        <w:t xml:space="preserve">У 42–59 %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пацієнтів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частіше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прогресуванні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стеатогепатиту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спостерігаються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болі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в правому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верхньому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квадранті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живота [2]. При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фізикальному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обстеженні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гепатомегалія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різного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ступеня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виявляється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у 50 %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Вимірювання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окружності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талії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дорослих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, є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достатнім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критерієм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підтвердження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центрального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ожиріння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суттєвим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предиктором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B" w:rsidRPr="0058365D">
        <w:rPr>
          <w:rFonts w:ascii="Times New Roman" w:hAnsi="Times New Roman" w:cs="Times New Roman"/>
          <w:sz w:val="24"/>
          <w:szCs w:val="24"/>
        </w:rPr>
        <w:t>метаболічного</w:t>
      </w:r>
      <w:proofErr w:type="spellEnd"/>
      <w:r w:rsidR="00CB1C6B" w:rsidRPr="0058365D">
        <w:rPr>
          <w:rFonts w:ascii="Times New Roman" w:hAnsi="Times New Roman" w:cs="Times New Roman"/>
          <w:sz w:val="24"/>
          <w:szCs w:val="24"/>
        </w:rPr>
        <w:t xml:space="preserve"> синдрому [</w:t>
      </w:r>
      <w:r w:rsidR="004475AE" w:rsidRPr="0058365D">
        <w:rPr>
          <w:rFonts w:ascii="Times New Roman" w:hAnsi="Times New Roman" w:cs="Times New Roman"/>
          <w:sz w:val="24"/>
          <w:szCs w:val="24"/>
          <w:lang w:val="uk-UA"/>
        </w:rPr>
        <w:t>2, 4</w:t>
      </w:r>
      <w:r w:rsidR="00CB1C6B" w:rsidRPr="0058365D">
        <w:rPr>
          <w:rFonts w:ascii="Times New Roman" w:hAnsi="Times New Roman" w:cs="Times New Roman"/>
          <w:sz w:val="24"/>
          <w:szCs w:val="24"/>
        </w:rPr>
        <w:t>]</w:t>
      </w:r>
      <w:r w:rsidR="004475AE" w:rsidRPr="005836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476FF9E" w14:textId="1993D260" w:rsidR="001B2769" w:rsidRPr="0058365D" w:rsidRDefault="00305FE7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Лабораторна діагностика неалкогольної жирової хвороби печінки (НАЖХП) спрямована на виявлення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/>
        </w:rPr>
        <w:t>інсулінорезистентності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/>
        </w:rPr>
        <w:t>дисліпідемії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, а також ознак ушкодження гепатоцитів і прогресування НАЖХП — маркерів цитолізу й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/>
        </w:rPr>
        <w:t>холестазу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, системного запалення,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/>
        </w:rPr>
        <w:t>апоптозу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/>
        </w:rPr>
        <w:t>оксидативного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стресу та фіброзу.</w:t>
      </w:r>
    </w:p>
    <w:p w14:paraId="56FA6DC3" w14:textId="08470012" w:rsidR="00B654CE" w:rsidRPr="0058365D" w:rsidRDefault="00B654CE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Інструментальна </w:t>
      </w:r>
      <w:proofErr w:type="spellStart"/>
      <w:r w:rsidR="00D35580" w:rsidRPr="0058365D">
        <w:rPr>
          <w:rFonts w:ascii="Times New Roman" w:hAnsi="Times New Roman" w:cs="Times New Roman"/>
          <w:sz w:val="24"/>
          <w:szCs w:val="24"/>
          <w:lang w:val="uk-UA"/>
        </w:rPr>
        <w:t>неінвазивна</w:t>
      </w:r>
      <w:proofErr w:type="spellEnd"/>
      <w:r w:rsidR="00D35580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>діагностика полягає в проведенні</w:t>
      </w:r>
      <w:r w:rsidR="0069221A" w:rsidRPr="0058365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перш за все</w:t>
      </w:r>
      <w:r w:rsidR="0069221A" w:rsidRPr="0058365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ультразвукової діагностики органів черевно</w:t>
      </w:r>
      <w:r w:rsidR="0069221A" w:rsidRPr="0058365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порожнини</w:t>
      </w:r>
      <w:r w:rsidR="00EC3597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в В-режимі</w:t>
      </w:r>
      <w:r w:rsidR="00C04CA3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5AE" w:rsidRPr="0058365D">
        <w:rPr>
          <w:rFonts w:ascii="Times New Roman" w:hAnsi="Times New Roman" w:cs="Times New Roman"/>
          <w:sz w:val="24"/>
          <w:szCs w:val="24"/>
          <w:lang w:val="uk-UA"/>
        </w:rPr>
        <w:t>[4</w:t>
      </w:r>
      <w:r w:rsidR="00BB4346" w:rsidRPr="0058365D">
        <w:rPr>
          <w:rFonts w:ascii="Times New Roman" w:hAnsi="Times New Roman" w:cs="Times New Roman"/>
          <w:sz w:val="24"/>
          <w:szCs w:val="24"/>
          <w:lang w:val="uk-UA"/>
        </w:rPr>
        <w:t>, 10</w:t>
      </w:r>
      <w:r w:rsidR="004475AE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] </w:t>
      </w:r>
      <w:r w:rsidR="00D35580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і сприяє тому, щоб на рівні первинної медичної допомоги визначити ризик розвитку НАЖХП у осіб з високим метаболічним ризиком, на </w:t>
      </w:r>
      <w:proofErr w:type="spellStart"/>
      <w:r w:rsidR="00D35580" w:rsidRPr="0058365D">
        <w:rPr>
          <w:rFonts w:ascii="Times New Roman" w:hAnsi="Times New Roman" w:cs="Times New Roman"/>
          <w:sz w:val="24"/>
          <w:szCs w:val="24"/>
          <w:lang w:val="uk-UA"/>
        </w:rPr>
        <w:t>втроинному</w:t>
      </w:r>
      <w:proofErr w:type="spellEnd"/>
      <w:r w:rsidR="00D35580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і третинному рівні медичної допомоги ідентифікувати пацієнтів з більш поганим прогнозом, оцінити прогресування захворювання, прогнозувати відповідь на терапевтичне втручання. Досягнення даних цілей дозволить зменшити потребу в біопсії печінки. Отже, </w:t>
      </w:r>
      <w:r w:rsidR="0069221A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5580" w:rsidRPr="0058365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69221A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тупінь ожиріння </w:t>
      </w:r>
      <w:r w:rsidR="00D35580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ультразвукового дослідження </w:t>
      </w:r>
      <w:r w:rsidR="0069221A" w:rsidRPr="0058365D">
        <w:rPr>
          <w:rFonts w:ascii="Times New Roman" w:hAnsi="Times New Roman" w:cs="Times New Roman"/>
          <w:sz w:val="24"/>
          <w:szCs w:val="24"/>
          <w:lang w:val="uk-UA"/>
        </w:rPr>
        <w:t>оцінюється відповідно до таких критеріїв:</w:t>
      </w:r>
    </w:p>
    <w:p w14:paraId="3DE31488" w14:textId="1AE5CB5A" w:rsidR="0069221A" w:rsidRPr="0058365D" w:rsidRDefault="0069221A" w:rsidP="00DA5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Підвищена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/>
        </w:rPr>
        <w:t>ехогенність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паренхіми печінки</w:t>
      </w:r>
    </w:p>
    <w:p w14:paraId="0E263E57" w14:textId="37A51414" w:rsidR="0069221A" w:rsidRPr="0058365D" w:rsidRDefault="0069221A" w:rsidP="00DA5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Заднє ослаблення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/>
        </w:rPr>
        <w:t>візуалзіації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правої ч</w:t>
      </w:r>
      <w:r w:rsidR="00EC3597" w:rsidRPr="0058365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>стки</w:t>
      </w:r>
    </w:p>
    <w:p w14:paraId="3B1019FE" w14:textId="6439FA76" w:rsidR="0069221A" w:rsidRPr="0058365D" w:rsidRDefault="0069221A" w:rsidP="00DA5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Зменшення видимості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/>
        </w:rPr>
        <w:t>внутрцшньопечінкових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судин</w:t>
      </w:r>
    </w:p>
    <w:p w14:paraId="37794B14" w14:textId="3BFEF3AF" w:rsidR="0069221A" w:rsidRPr="0058365D" w:rsidRDefault="0069221A" w:rsidP="00DA5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>Втрата візуалізації діафрагми</w:t>
      </w:r>
    </w:p>
    <w:p w14:paraId="4DD92BA7" w14:textId="67F9ADE9" w:rsidR="0069221A" w:rsidRPr="0058365D" w:rsidRDefault="0069221A" w:rsidP="00DA5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контрасту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/>
        </w:rPr>
        <w:t>ехогенності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паренхіми між правої ниркою та пе</w:t>
      </w:r>
      <w:r w:rsidR="00EC3597" w:rsidRPr="0058365D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>інкою</w:t>
      </w:r>
      <w:r w:rsidR="00EC3597" w:rsidRPr="005836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16ADD0" w14:textId="09B356B4" w:rsidR="00EC3597" w:rsidRPr="0058365D" w:rsidRDefault="00EC3597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Надзвичайно важливим є новий </w:t>
      </w:r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доступний </w:t>
      </w:r>
      <w:proofErr w:type="spellStart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>неінвазивний</w:t>
      </w:r>
      <w:proofErr w:type="spellEnd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метод ультразвукової кількісної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/>
        </w:rPr>
        <w:t>стеатометрії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, який </w:t>
      </w:r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тільки починає впроваджуватися в практичну діяльність і 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>дозволяє класифікувати жирову інфільтрацію відповідно до таких ступен</w:t>
      </w:r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686E3DD" w14:textId="7616D7B4" w:rsidR="00EC3597" w:rsidRPr="0058365D" w:rsidRDefault="00EC3597" w:rsidP="00DA5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0 –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/>
        </w:rPr>
        <w:t>стеатоз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відсутній, </w:t>
      </w:r>
      <w:bookmarkStart w:id="4" w:name="_Hlk76932334"/>
      <w:r w:rsidRPr="0058365D">
        <w:rPr>
          <w:rFonts w:ascii="Times New Roman" w:hAnsi="Times New Roman" w:cs="Times New Roman"/>
          <w:sz w:val="24"/>
          <w:szCs w:val="24"/>
          <w:lang w:val="uk-UA"/>
        </w:rPr>
        <w:t>≤</w:t>
      </w:r>
      <w:bookmarkEnd w:id="4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2,19</w:t>
      </w:r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>дБ</w:t>
      </w:r>
      <w:proofErr w:type="spellEnd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>/см</w:t>
      </w:r>
    </w:p>
    <w:p w14:paraId="757265B4" w14:textId="7636E818" w:rsidR="00EC3597" w:rsidRPr="0058365D" w:rsidRDefault="00EC3597" w:rsidP="00DA5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1 – мінімальний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uk-UA"/>
        </w:rPr>
        <w:t>стеатоз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bookmarkStart w:id="5" w:name="_Hlk76932348"/>
      <w:r w:rsidRPr="0058365D">
        <w:rPr>
          <w:rFonts w:ascii="Times New Roman" w:hAnsi="Times New Roman" w:cs="Times New Roman"/>
          <w:sz w:val="24"/>
          <w:szCs w:val="24"/>
          <w:lang w:val="uk-UA"/>
        </w:rPr>
        <w:t>≥</w:t>
      </w:r>
      <w:bookmarkEnd w:id="5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5 %</w:t>
      </w:r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гепатоцитів зі </w:t>
      </w:r>
      <w:proofErr w:type="spellStart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>стеатозом</w:t>
      </w:r>
      <w:proofErr w:type="spellEnd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, 2,2 – 2,29 </w:t>
      </w:r>
      <w:proofErr w:type="spellStart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>дБ</w:t>
      </w:r>
      <w:proofErr w:type="spellEnd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>/см</w:t>
      </w:r>
    </w:p>
    <w:p w14:paraId="6217E825" w14:textId="4E451C79" w:rsidR="00EC3597" w:rsidRPr="0058365D" w:rsidRDefault="00EC3597" w:rsidP="00DA5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– помірний </w:t>
      </w:r>
      <w:proofErr w:type="spellStart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>стеатоз</w:t>
      </w:r>
      <w:proofErr w:type="spellEnd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, ≥ 6-32 % гепатоцитів зі </w:t>
      </w:r>
      <w:proofErr w:type="spellStart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>стеатозом</w:t>
      </w:r>
      <w:proofErr w:type="spellEnd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, 2,3 – 2,9 </w:t>
      </w:r>
      <w:proofErr w:type="spellStart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>дБ</w:t>
      </w:r>
      <w:proofErr w:type="spellEnd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>/см</w:t>
      </w:r>
    </w:p>
    <w:p w14:paraId="4C934D11" w14:textId="7675E9F7" w:rsidR="00EC3597" w:rsidRPr="0058365D" w:rsidRDefault="00EC3597" w:rsidP="00DA5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8365D">
        <w:rPr>
          <w:rFonts w:ascii="Times New Roman" w:hAnsi="Times New Roman" w:cs="Times New Roman"/>
          <w:sz w:val="24"/>
          <w:szCs w:val="24"/>
        </w:rPr>
        <w:t>3</w:t>
      </w:r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– виражений </w:t>
      </w:r>
      <w:proofErr w:type="spellStart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>стеатоз</w:t>
      </w:r>
      <w:proofErr w:type="spellEnd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, ≥ 33-100% гепатоцитів зі </w:t>
      </w:r>
      <w:proofErr w:type="spellStart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>стеатозом</w:t>
      </w:r>
      <w:proofErr w:type="spellEnd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, ≥ 2,9 </w:t>
      </w:r>
      <w:proofErr w:type="spellStart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>дБ</w:t>
      </w:r>
      <w:proofErr w:type="spellEnd"/>
      <w:r w:rsidR="000C4A31" w:rsidRPr="0058365D">
        <w:rPr>
          <w:rFonts w:ascii="Times New Roman" w:hAnsi="Times New Roman" w:cs="Times New Roman"/>
          <w:sz w:val="24"/>
          <w:szCs w:val="24"/>
          <w:lang w:val="uk-UA"/>
        </w:rPr>
        <w:t>/см</w:t>
      </w:r>
    </w:p>
    <w:p w14:paraId="249D8F9C" w14:textId="722FF74A" w:rsidR="000C4A31" w:rsidRPr="0058365D" w:rsidRDefault="000C4A31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Найбільш інформативним методом визначення жирового </w:t>
      </w:r>
      <w:r w:rsidR="006473F8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473F8" w:rsidRPr="0058365D">
        <w:rPr>
          <w:rFonts w:ascii="Times New Roman" w:hAnsi="Times New Roman" w:cs="Times New Roman"/>
          <w:sz w:val="24"/>
          <w:szCs w:val="24"/>
          <w:lang w:val="uk-UA"/>
        </w:rPr>
        <w:t>гепатозу</w:t>
      </w:r>
      <w:proofErr w:type="spellEnd"/>
      <w:r w:rsidR="003721D4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на сьогодні є МРТ та МР-спектроскопія</w:t>
      </w:r>
      <w:r w:rsidR="00C04CA3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5AE" w:rsidRPr="0058365D">
        <w:rPr>
          <w:rFonts w:ascii="Times New Roman" w:hAnsi="Times New Roman" w:cs="Times New Roman"/>
          <w:sz w:val="24"/>
          <w:szCs w:val="24"/>
          <w:lang w:val="uk-UA"/>
        </w:rPr>
        <w:t>[5].</w:t>
      </w:r>
      <w:r w:rsidR="003721D4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МР-візуалізація, включаючи оцінку </w:t>
      </w:r>
      <w:proofErr w:type="spellStart"/>
      <w:r w:rsidR="003721D4" w:rsidRPr="0058365D">
        <w:rPr>
          <w:rFonts w:ascii="Times New Roman" w:hAnsi="Times New Roman" w:cs="Times New Roman"/>
          <w:sz w:val="24"/>
          <w:szCs w:val="24"/>
          <w:lang w:val="uk-UA"/>
        </w:rPr>
        <w:t>стеатозу</w:t>
      </w:r>
      <w:proofErr w:type="spellEnd"/>
      <w:r w:rsidR="003721D4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за протонною щільністю жирової фракції, є об’єктивним підходом для точної оцінки </w:t>
      </w:r>
      <w:proofErr w:type="spellStart"/>
      <w:r w:rsidR="003721D4" w:rsidRPr="0058365D">
        <w:rPr>
          <w:rFonts w:ascii="Times New Roman" w:hAnsi="Times New Roman" w:cs="Times New Roman"/>
          <w:sz w:val="24"/>
          <w:szCs w:val="24"/>
          <w:lang w:val="uk-UA"/>
        </w:rPr>
        <w:t>стеатозу</w:t>
      </w:r>
      <w:proofErr w:type="spellEnd"/>
      <w:r w:rsidR="003721D4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печінки у дітей без здійснення біопсії печінки</w:t>
      </w:r>
      <w:r w:rsidR="004475AE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[13]. Проте, з</w:t>
      </w:r>
      <w:r w:rsidR="007B13B3" w:rsidRPr="0058365D">
        <w:rPr>
          <w:rFonts w:ascii="Times New Roman" w:hAnsi="Times New Roman" w:cs="Times New Roman"/>
          <w:sz w:val="24"/>
          <w:szCs w:val="24"/>
          <w:lang w:val="uk-UA"/>
        </w:rPr>
        <w:t>вичайно, біопсія</w:t>
      </w:r>
      <w:r w:rsidR="00D35580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 має вирішальне значення для </w:t>
      </w:r>
      <w:proofErr w:type="spellStart"/>
      <w:r w:rsidR="00D35580" w:rsidRPr="0058365D">
        <w:rPr>
          <w:rFonts w:ascii="Times New Roman" w:hAnsi="Times New Roman" w:cs="Times New Roman"/>
          <w:sz w:val="24"/>
          <w:szCs w:val="24"/>
          <w:lang w:val="uk-UA"/>
        </w:rPr>
        <w:t>дифдіагностики</w:t>
      </w:r>
      <w:proofErr w:type="spellEnd"/>
      <w:r w:rsidR="00D35580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3F99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двох стадій НАЖХП </w:t>
      </w:r>
      <w:r w:rsidR="004475AE" w:rsidRPr="0058365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A43F99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5580" w:rsidRPr="0058365D">
        <w:rPr>
          <w:rFonts w:ascii="Times New Roman" w:hAnsi="Times New Roman" w:cs="Times New Roman"/>
          <w:sz w:val="24"/>
          <w:szCs w:val="24"/>
          <w:lang w:val="uk-UA"/>
        </w:rPr>
        <w:t>НАЖ</w:t>
      </w:r>
      <w:r w:rsidR="00A43F99" w:rsidRPr="0058365D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4475AE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(неалкогольного жирового </w:t>
      </w:r>
      <w:proofErr w:type="spellStart"/>
      <w:r w:rsidR="004475AE" w:rsidRPr="0058365D">
        <w:rPr>
          <w:rFonts w:ascii="Times New Roman" w:hAnsi="Times New Roman" w:cs="Times New Roman"/>
          <w:sz w:val="24"/>
          <w:szCs w:val="24"/>
          <w:lang w:val="uk-UA"/>
        </w:rPr>
        <w:t>гепатозу</w:t>
      </w:r>
      <w:proofErr w:type="spellEnd"/>
      <w:r w:rsidR="004475AE" w:rsidRPr="0058365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35580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від НАСГ</w:t>
      </w:r>
      <w:r w:rsidR="004475AE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(неалкогольного </w:t>
      </w:r>
      <w:proofErr w:type="spellStart"/>
      <w:r w:rsidR="004475AE" w:rsidRPr="0058365D">
        <w:rPr>
          <w:rFonts w:ascii="Times New Roman" w:hAnsi="Times New Roman" w:cs="Times New Roman"/>
          <w:sz w:val="24"/>
          <w:szCs w:val="24"/>
          <w:lang w:val="uk-UA"/>
        </w:rPr>
        <w:t>стеатогеатиту</w:t>
      </w:r>
      <w:proofErr w:type="spellEnd"/>
      <w:r w:rsidR="004475AE" w:rsidRPr="0058365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35580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, не дивлячись на  </w:t>
      </w:r>
      <w:proofErr w:type="spellStart"/>
      <w:r w:rsidR="00D35580" w:rsidRPr="0058365D">
        <w:rPr>
          <w:rFonts w:ascii="Times New Roman" w:hAnsi="Times New Roman" w:cs="Times New Roman"/>
          <w:sz w:val="24"/>
          <w:szCs w:val="24"/>
          <w:lang w:val="uk-UA"/>
        </w:rPr>
        <w:t>травматичність</w:t>
      </w:r>
      <w:proofErr w:type="spellEnd"/>
      <w:r w:rsidR="00D35580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та погрішності забору матеріалу</w:t>
      </w:r>
      <w:r w:rsidR="00BB4346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4346"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[6, 12]</w:t>
      </w:r>
      <w:r w:rsidR="00D35580" w:rsidRPr="005836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7C2ED86" w14:textId="3829DB28" w:rsidR="00453179" w:rsidRPr="0058365D" w:rsidRDefault="00453179" w:rsidP="00DA52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НАЖГ</w:t>
      </w:r>
      <w:r w:rsidR="004475A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C2DC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(неалкогольний жировий </w:t>
      </w:r>
      <w:proofErr w:type="spellStart"/>
      <w:r w:rsidR="009C2DC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гепатоз</w:t>
      </w:r>
      <w:proofErr w:type="spellEnd"/>
      <w:r w:rsidR="009C2DC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включає: а)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стеатоз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печінки, б)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стеатоз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лобулярн</w:t>
      </w:r>
      <w:r w:rsidR="009C2DC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</w:t>
      </w:r>
      <w:proofErr w:type="spellEnd"/>
      <w:r w:rsidR="009C2DC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або портальни</w:t>
      </w:r>
      <w:r w:rsidR="009C2DC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запаленням без балонної дистрофії, с)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стеатоз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балонної дистрофією, але без запалення. Для встановлення діагнозу НАСГ</w:t>
      </w:r>
      <w:r w:rsidR="009C2DC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(неалкогольний </w:t>
      </w:r>
      <w:proofErr w:type="spellStart"/>
      <w:r w:rsidR="009C2DC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стеатогепатит</w:t>
      </w:r>
      <w:proofErr w:type="spellEnd"/>
      <w:r w:rsidR="009C2DC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необхідна наявність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стеатозу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балонної дистрофії і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лобулярного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запалення одночасно [</w:t>
      </w:r>
      <w:r w:rsidR="004475A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].</w:t>
      </w:r>
      <w:r w:rsidR="004475A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Можливі й інші гістологічні зміни, але вони не вважаються необхідними для постановки діагнозу: портальн</w:t>
      </w:r>
      <w:r w:rsidR="00CB69BC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запалення,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поліморфноядерні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інфільтрати, тільця Мелорі-</w:t>
      </w:r>
      <w:r w:rsidR="004475A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Денка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апоптотичні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тільця, прозорі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вакуолізован</w:t>
      </w:r>
      <w:r w:rsidR="00CB69BC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proofErr w:type="spellEnd"/>
      <w:r w:rsidR="00CB69BC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ядра, </w:t>
      </w:r>
      <w:proofErr w:type="spellStart"/>
      <w:r w:rsidR="00CB69BC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ікровез</w:t>
      </w:r>
      <w:r w:rsidR="00CB69BC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кулярний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стеатоз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мегамітохондрії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33D4439" w14:textId="38C95251" w:rsidR="00453179" w:rsidRPr="0058365D" w:rsidRDefault="00453179" w:rsidP="00DA52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  клінічних рекомендацій EASL-EASD-EASO по діагностиці</w:t>
      </w:r>
      <w:r w:rsidR="00CB69BC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лікуванню неалкогольний жирової хвороби печінки, а саме </w:t>
      </w:r>
      <w:r w:rsidR="00CB69BC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Європейської асоціації з вивчення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хвороб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печінки (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European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Association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for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Study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="00CB69BC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Liver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 EASL), Європейської асоціації з вивчення діабету (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European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Association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for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Study</w:t>
      </w:r>
      <w:proofErr w:type="spellEnd"/>
      <w:r w:rsidR="00CB69BC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Diabetes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 EASD) і Європейської асоціації з вивчення ожиріння (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European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Association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for</w:t>
      </w:r>
      <w:proofErr w:type="spellEnd"/>
      <w:r w:rsidR="00CB69BC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Study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Obesity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EASO) перебіг НАСГ у дітей багато в чому схожий з таким у дорослих, хоча розподіл </w:t>
      </w:r>
      <w:r w:rsidR="009C2DC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уражень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може відрізнятися. Портальн</w:t>
      </w:r>
      <w:r w:rsidR="009C2DC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запалення зустрічається часто, але воно може бути присутнім і у дорослих з більш важкою формою захворювання.</w:t>
      </w:r>
      <w:r w:rsidR="009C2DC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Балонна дистрофія гепатоцитів і тільця Мелорі-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Денка</w:t>
      </w:r>
      <w:proofErr w:type="spellEnd"/>
      <w:r w:rsidR="009C2DC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НАСГ у дітей зустрічаються спорадично, переважає хронічне портальне запалення. На підставі характерної гістологічної картини була розроблена спеціальна</w:t>
      </w:r>
      <w:r w:rsidR="009C2DC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гістологічна шкала НАЖБП у дітей -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Paediatric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NAFLD</w:t>
      </w:r>
      <w:r w:rsidR="009C2DC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Histological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Score</w:t>
      </w:r>
      <w:proofErr w:type="spellEnd"/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PNHS - для уточнення класифікації дітей</w:t>
      </w:r>
      <w:r w:rsidR="00CB69BC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C2DCE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без НАСГ.</w:t>
      </w:r>
    </w:p>
    <w:p w14:paraId="1E67BD87" w14:textId="77F74D5C" w:rsidR="00CB69BC" w:rsidRPr="00DA529E" w:rsidRDefault="00CB69BC" w:rsidP="00DA529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A52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Виснов</w:t>
      </w:r>
      <w:r w:rsidR="007D380C" w:rsidRPr="00DA52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ки</w:t>
      </w:r>
      <w:r w:rsidRPr="00DA52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44388804" w14:textId="54110985" w:rsidR="00C54653" w:rsidRPr="0058365D" w:rsidRDefault="00C54653" w:rsidP="00DA52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Неалкогольна </w:t>
      </w:r>
      <w:r w:rsidR="00372258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жирова хвороба печінки у дітей та підлітків на сьогодні є найбільш частою формою хронічного захворювання печінки, яка стосується 10-120 % загальної педіатричної популяції. Впродовж наступних 10 років очікується, що дана ситуація стане основною в структурі захворюваності </w:t>
      </w:r>
      <w:proofErr w:type="spellStart"/>
      <w:r w:rsidR="00372258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гепатобіліарної</w:t>
      </w:r>
      <w:proofErr w:type="spellEnd"/>
      <w:r w:rsidR="00372258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системи з подальшим розвитком печінкової недостатності і потреби в трансплантації печінки. </w:t>
      </w:r>
      <w:bookmarkStart w:id="6" w:name="_Hlk77038522"/>
      <w:r w:rsidR="00372258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Чіткий взаємозв’язок між педіатричною НАЖХП і метаболічними факторами ризику, включаючи </w:t>
      </w:r>
      <w:proofErr w:type="spellStart"/>
      <w:r w:rsidR="00372258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інсулінорезистентність</w:t>
      </w:r>
      <w:proofErr w:type="spellEnd"/>
      <w:r w:rsidR="00372258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372258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дисліпідемії</w:t>
      </w:r>
      <w:proofErr w:type="spellEnd"/>
      <w:r w:rsidR="00372258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ожиріння, </w:t>
      </w:r>
      <w:proofErr w:type="spellStart"/>
      <w:r w:rsidR="00372258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кардіоваскулярні</w:t>
      </w:r>
      <w:proofErr w:type="spellEnd"/>
      <w:r w:rsidR="00372258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захворювання</w:t>
      </w:r>
      <w:r w:rsidR="00C75D43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потребує </w:t>
      </w:r>
      <w:proofErr w:type="spellStart"/>
      <w:r w:rsidR="00C75D43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мультидисциплінарного</w:t>
      </w:r>
      <w:proofErr w:type="spellEnd"/>
      <w:r w:rsidR="00C75D43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підходу до даної проблеми.</w:t>
      </w:r>
      <w:r w:rsidR="00372258" w:rsidRPr="00583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bookmarkEnd w:id="6"/>
    <w:p w14:paraId="328BBE51" w14:textId="77777777" w:rsidR="00D35580" w:rsidRPr="0058365D" w:rsidRDefault="00D35580" w:rsidP="00DA5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1DD25BC" w14:textId="4933C190" w:rsidR="00D35580" w:rsidRPr="00DA529E" w:rsidRDefault="007D380C" w:rsidP="00DA529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529E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14:paraId="6041C582" w14:textId="234B4033" w:rsidR="000E75F4" w:rsidRPr="0058365D" w:rsidRDefault="00B80094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E75F4" w:rsidRPr="005836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E75F4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Наказ МОЗ України від 06.11.2014 № 826 "Про затвердження та впровадження медико-технологічних документів зі стандартизації медичної допомоги при хронічних неінфекційних гепатитах". Режим доступу: </w:t>
      </w:r>
      <w:r w:rsidR="000E75F4" w:rsidRPr="0058365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8365D">
          <w:rPr>
            <w:rStyle w:val="a5"/>
            <w:rFonts w:ascii="Times New Roman" w:hAnsi="Times New Roman" w:cs="Times New Roman"/>
            <w:sz w:val="24"/>
            <w:szCs w:val="24"/>
            <w:shd w:val="clear" w:color="auto" w:fill="F8F8F8"/>
            <w:lang w:val="uk-UA"/>
          </w:rPr>
          <w:t>http://search.ligazakon.ua/l_doc2.nsf/link1/MOZ24038.html</w:t>
        </w:r>
      </w:hyperlink>
    </w:p>
    <w:p w14:paraId="75D70DBB" w14:textId="046D1927" w:rsidR="003721D4" w:rsidRPr="0058365D" w:rsidRDefault="000A2146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2. </w:t>
      </w:r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>Степанов Ю. М. </w:t>
      </w:r>
      <w:proofErr w:type="spellStart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>Неалкогольна</w:t>
      </w:r>
      <w:proofErr w:type="spellEnd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>жирова</w:t>
      </w:r>
      <w:proofErr w:type="spellEnd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хвороба </w:t>
      </w:r>
      <w:proofErr w:type="spellStart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>печінки</w:t>
      </w:r>
      <w:proofErr w:type="spellEnd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в </w:t>
      </w:r>
      <w:proofErr w:type="spellStart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>дітей</w:t>
      </w:r>
      <w:proofErr w:type="spellEnd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: </w:t>
      </w:r>
      <w:proofErr w:type="spellStart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>сучасний</w:t>
      </w:r>
      <w:proofErr w:type="spellEnd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>погляд</w:t>
      </w:r>
      <w:proofErr w:type="spellEnd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на </w:t>
      </w:r>
      <w:proofErr w:type="spellStart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>можливості</w:t>
      </w:r>
      <w:proofErr w:type="spellEnd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>діагностики</w:t>
      </w:r>
      <w:proofErr w:type="spellEnd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та </w:t>
      </w:r>
      <w:proofErr w:type="spellStart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>лікування</w:t>
      </w:r>
      <w:proofErr w:type="spellEnd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(I </w:t>
      </w:r>
      <w:proofErr w:type="spellStart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>частина</w:t>
      </w:r>
      <w:proofErr w:type="spellEnd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) / Ю. М. Степанов, О. Є. Абатуров, Н. Ю. </w:t>
      </w:r>
      <w:proofErr w:type="spellStart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>Завгородня</w:t>
      </w:r>
      <w:proofErr w:type="spellEnd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І. Ю. Скирда // </w:t>
      </w:r>
      <w:proofErr w:type="spellStart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>Гастроентерологія</w:t>
      </w:r>
      <w:proofErr w:type="spellEnd"/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. - 2015. - № 3. - С. 122-131. - Режим доступу: </w:t>
      </w:r>
      <w:hyperlink r:id="rId7" w:history="1">
        <w:r w:rsidR="00844C36" w:rsidRPr="005836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9F9F9"/>
          </w:rPr>
          <w:t>http://nbuv.gov.ua/UJRN/gastro_2015_3_18</w:t>
        </w:r>
      </w:hyperlink>
      <w:r w:rsidR="00F14DBA" w:rsidRPr="0058365D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14:paraId="4CBFB556" w14:textId="77777777" w:rsidR="00CB69BC" w:rsidRPr="0058365D" w:rsidRDefault="00CB69BC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3.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Alisi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A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Non-alcoholic fatty liver disease and metabolic syndrome in adolescents: pathogenetic role of genetic background and intrauterine environment / A.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Alisi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S.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Cianfarani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M. </w:t>
      </w:r>
      <w:proofErr w:type="gram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Manco 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2F2F2"/>
          <w:lang w:val="en-US"/>
        </w:rPr>
        <w:t>[</w:t>
      </w:r>
      <w:proofErr w:type="gramEnd"/>
      <w:r w:rsidRPr="0058365D">
        <w:rPr>
          <w:rFonts w:ascii="Times New Roman" w:hAnsi="Times New Roman" w:cs="Times New Roman"/>
          <w:sz w:val="24"/>
          <w:szCs w:val="24"/>
          <w:shd w:val="clear" w:color="auto" w:fill="F2F2F2"/>
          <w:lang w:val="en-US"/>
        </w:rPr>
        <w:t xml:space="preserve">et al.] //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Ann Med. – 2012. - 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44(1). –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 29-40.</w:t>
      </w:r>
    </w:p>
    <w:p w14:paraId="7117F3C2" w14:textId="77777777" w:rsidR="00CB69BC" w:rsidRPr="0058365D" w:rsidRDefault="00CB69BC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Chalasani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N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The diagnosis and management of non-alcoholic fatty liver disease: Practice guideline by the American Association for the Study of Liver Diseases, American College of Gastroenterology, and the American Gastroenterological Association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N.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Chalasani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Z.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Younossi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J.E. Lavine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2F2F2"/>
          <w:lang w:val="en-US"/>
        </w:rPr>
        <w:t xml:space="preserve">[et al.]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// Am J Gastroenterol. – 2012. -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107(6)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– Р.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811-26.</w:t>
      </w:r>
    </w:p>
    <w:p w14:paraId="164DA0D6" w14:textId="3E17C771" w:rsidR="00CB69BC" w:rsidRPr="0058365D" w:rsidRDefault="00CB69BC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5. Deng J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Quantitative MRI for hepatic fat fraction and T2 measurement in pediatric patients with non-alcoholic fatty liver disease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J.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Deng, M.N. Fishbein, C.K. Rigsby </w:t>
      </w:r>
      <w:bookmarkStart w:id="7" w:name="_Hlk77030413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[et al.] </w:t>
      </w:r>
      <w:bookmarkEnd w:id="7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//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Pediatr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Radiol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– 2014. -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44(11)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– Р.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1379-87.</w:t>
      </w:r>
    </w:p>
    <w:p w14:paraId="59576355" w14:textId="77777777" w:rsidR="00CB69BC" w:rsidRPr="0058365D" w:rsidRDefault="00CB69BC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lastRenderedPageBreak/>
        <w:t xml:space="preserve">6.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Dezsofi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A. Liver biopsy in children: position paper of the ESPGHAN Hepatology Committee / A.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Dezsofi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U. Baumann, A. Dhawan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[et al.]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// </w:t>
      </w:r>
      <w:r w:rsidRPr="0058365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J </w:t>
      </w:r>
      <w:proofErr w:type="spellStart"/>
      <w:r w:rsidRPr="0058365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Pediatr</w:t>
      </w:r>
      <w:proofErr w:type="spellEnd"/>
      <w:r w:rsidRPr="0058365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Gastroenterol </w:t>
      </w:r>
      <w:proofErr w:type="spellStart"/>
      <w:r w:rsidRPr="0058365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Nutr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- 2015. -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№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60(3). – P. 408–420.</w:t>
      </w:r>
    </w:p>
    <w:p w14:paraId="25DF285E" w14:textId="77777777" w:rsidR="00CB69BC" w:rsidRPr="0058365D" w:rsidRDefault="00CB69BC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7. Goyal N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 progression and natural history of pediatric nonalcoholic fatty liver disease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/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Goyal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B.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Schwimmer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//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58365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Clin</w:t>
      </w:r>
      <w:r w:rsidRPr="0058365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58365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Liver Dis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–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2016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- №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20(2)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– Р.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325–338. </w:t>
      </w:r>
      <w:proofErr w:type="gramStart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doi:10.1016/j.cld</w:t>
      </w:r>
      <w:proofErr w:type="gramEnd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.2015.10.003</w:t>
      </w:r>
    </w:p>
    <w:p w14:paraId="7D1C7549" w14:textId="77777777" w:rsidR="00CB69BC" w:rsidRPr="0058365D" w:rsidRDefault="00CB69BC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bookmarkStart w:id="8" w:name="_Hlk77028067"/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Marzuillo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bookmarkEnd w:id="8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Pediatric fatty liver disease: role of ethnicity and genetics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/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Р.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Marzuillo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E.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Miraglia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del Giudice, N. Santoro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//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58365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World J Gastroenterol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– 2014. -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№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20(23)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- №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7347–7355. doi:10.3748/</w:t>
      </w:r>
      <w:proofErr w:type="gramStart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wjg.v20.i</w:t>
      </w:r>
      <w:proofErr w:type="gramEnd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23.7347</w:t>
      </w:r>
    </w:p>
    <w:p w14:paraId="306FE3C2" w14:textId="3E28903A" w:rsidR="0099149A" w:rsidRPr="00381678" w:rsidRDefault="000A2146" w:rsidP="00DA529E">
      <w:pPr>
        <w:spacing w:line="36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</w:pPr>
      <w:r w:rsidRPr="00381678"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  <w:t xml:space="preserve">9. </w:t>
      </w:r>
      <w:r w:rsidR="0019578A" w:rsidRPr="00381678"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  <w:t xml:space="preserve">Masarone </w:t>
      </w:r>
      <w:r w:rsidR="0019578A"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М</w:t>
      </w:r>
      <w:r w:rsidR="0019578A" w:rsidRPr="00381678"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  <w:t>.</w:t>
      </w:r>
      <w:r w:rsidR="0099149A" w:rsidRPr="00381678"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="0099149A" w:rsidRPr="00381678"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  <w:t>Non Alcoholic</w:t>
      </w:r>
      <w:proofErr w:type="gramEnd"/>
      <w:r w:rsidR="0099149A" w:rsidRPr="00381678"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  <w:t xml:space="preserve"> Fatty Liver. Epidemiology and Natural history / </w:t>
      </w:r>
      <w:bookmarkStart w:id="9" w:name="_Hlk77028248"/>
      <w:r w:rsidR="0099149A" w:rsidRPr="00381678"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  <w:t>M. Masarone</w:t>
      </w:r>
      <w:bookmarkEnd w:id="9"/>
      <w:r w:rsidR="0099149A" w:rsidRPr="00381678"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  <w:t>, A. Federico, L. Abenavoli [et al.] // Rev Recent Clin Trials. — 2014. [Epub ahead of print].</w:t>
      </w:r>
    </w:p>
    <w:p w14:paraId="6BBAE994" w14:textId="1D0DACC0" w:rsidR="00C04CA3" w:rsidRPr="0058365D" w:rsidRDefault="000A2146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10. </w:t>
      </w:r>
      <w:r w:rsidR="008B6FB2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Monteiro P</w:t>
      </w:r>
      <w:r w:rsidR="008B6FB2"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r w:rsidR="008B6FB2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</w:t>
      </w:r>
      <w:r w:rsidR="008B6FB2"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r w:rsidR="008B6FB2"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="00C04CA3"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Body composition variables as predictors of NAFLD by ultrasound in obese children and adolescents</w:t>
      </w:r>
      <w:bookmarkStart w:id="10" w:name="_Hlk77029766"/>
      <w:r w:rsidR="00D741E1"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 </w:t>
      </w:r>
      <w:r w:rsidR="00D741E1"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P.A. </w:t>
      </w:r>
      <w:r w:rsidR="00C04CA3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Monteiro</w:t>
      </w:r>
      <w:bookmarkEnd w:id="10"/>
      <w:r w:rsidR="00C04CA3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r w:rsidR="00D741E1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B de M </w:t>
      </w:r>
      <w:r w:rsidR="00C04CA3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Antunes, </w:t>
      </w:r>
      <w:r w:rsidR="00D741E1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L.S. </w:t>
      </w:r>
      <w:r w:rsidR="00C04CA3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Silveira </w:t>
      </w:r>
      <w:r w:rsidR="00D741E1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[et al.] // </w:t>
      </w:r>
      <w:r w:rsidR="00C04CA3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BMC </w:t>
      </w:r>
      <w:proofErr w:type="spellStart"/>
      <w:r w:rsidR="00C04CA3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Pediatr</w:t>
      </w:r>
      <w:proofErr w:type="spellEnd"/>
      <w:r w:rsidR="00C04CA3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  <w:r w:rsidR="00D741E1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– </w:t>
      </w:r>
      <w:r w:rsidR="00C04CA3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2014</w:t>
      </w:r>
      <w:r w:rsidR="00D741E1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  <w:r w:rsidR="00C04CA3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="00D741E1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="00D741E1"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="00C04CA3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14</w:t>
      </w:r>
      <w:r w:rsidR="00D741E1"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– Р. </w:t>
      </w:r>
      <w:r w:rsidR="00C04CA3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25.</w:t>
      </w:r>
    </w:p>
    <w:p w14:paraId="30A8FE85" w14:textId="1D5E19FD" w:rsidR="00CB69BC" w:rsidRPr="0058365D" w:rsidRDefault="00CB69BC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11. </w:t>
      </w:r>
      <w:proofErr w:type="spellStart"/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Ozhan</w:t>
      </w:r>
      <w:proofErr w:type="spellEnd"/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B.</w:t>
      </w:r>
      <w:r w:rsidR="005C34B5"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Insulin sensitivity indices: Fasting </w:t>
      </w:r>
      <w:r w:rsidRPr="0058365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versus</w:t>
      </w:r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 glucose-stimulated indices in pediatric non-alcoholic fatty liver disease / B. </w:t>
      </w:r>
      <w:proofErr w:type="spellStart"/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Ozhan</w:t>
      </w:r>
      <w:proofErr w:type="spellEnd"/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D. </w:t>
      </w:r>
      <w:proofErr w:type="spellStart"/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Ersoy</w:t>
      </w:r>
      <w:proofErr w:type="spellEnd"/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5C34B5"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S. </w:t>
      </w:r>
      <w:proofErr w:type="spellStart"/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Kiremitci</w:t>
      </w:r>
      <w:proofErr w:type="spellEnd"/>
      <w:r w:rsidR="005C34B5"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C34B5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[et al.] </w:t>
      </w:r>
      <w:r w:rsidR="005C34B5"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58365D">
        <w:rPr>
          <w:rStyle w:val="ref-journal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Eur. Rev. Med. </w:t>
      </w:r>
      <w:proofErr w:type="spellStart"/>
      <w:r w:rsidRPr="0058365D">
        <w:rPr>
          <w:rStyle w:val="ref-journal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Pharmacol</w:t>
      </w:r>
      <w:proofErr w:type="spellEnd"/>
      <w:r w:rsidRPr="0058365D">
        <w:rPr>
          <w:rStyle w:val="ref-journal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. Sci. - </w:t>
      </w:r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2015. - </w:t>
      </w:r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№ </w:t>
      </w:r>
      <w:r w:rsidRPr="0058365D">
        <w:rPr>
          <w:rStyle w:val="ref-vol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19</w:t>
      </w:r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- P. 3450–3458.</w:t>
      </w:r>
    </w:p>
    <w:p w14:paraId="30D7C560" w14:textId="521DAA9C" w:rsidR="003030D8" w:rsidRPr="0058365D" w:rsidRDefault="000A2146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12.</w:t>
      </w:r>
      <w:r w:rsidR="003030D8"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</w:t>
      </w:r>
      <w:proofErr w:type="spellStart"/>
      <w:r w:rsidR="00D741E1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Ovchinsky</w:t>
      </w:r>
      <w:proofErr w:type="spellEnd"/>
      <w:r w:rsidR="00D741E1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N</w:t>
      </w:r>
      <w:r w:rsidR="00D741E1"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r w:rsidR="00D741E1"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="003030D8"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Liver biopsy in modern clinical practice: a pediatric point-of-view</w:t>
      </w:r>
      <w:r w:rsidR="00D741E1"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 </w:t>
      </w:r>
      <w:r w:rsidR="00D741E1"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N. </w:t>
      </w:r>
      <w:proofErr w:type="spellStart"/>
      <w:r w:rsidR="003030D8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Ovchinsky</w:t>
      </w:r>
      <w:proofErr w:type="spellEnd"/>
      <w:r w:rsidR="003030D8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r w:rsidR="00D741E1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R.K. </w:t>
      </w:r>
      <w:r w:rsidR="003030D8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Moreira, </w:t>
      </w:r>
      <w:r w:rsidR="00D741E1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J. H. </w:t>
      </w:r>
      <w:proofErr w:type="spellStart"/>
      <w:r w:rsidR="003030D8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Lefkowitch</w:t>
      </w:r>
      <w:proofErr w:type="spellEnd"/>
      <w:r w:rsidR="00D741E1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// </w:t>
      </w:r>
      <w:r w:rsidR="003030D8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Adv </w:t>
      </w:r>
      <w:proofErr w:type="spellStart"/>
      <w:r w:rsidR="003030D8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Anat</w:t>
      </w:r>
      <w:proofErr w:type="spellEnd"/>
      <w:r w:rsidR="003030D8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="003030D8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Pathol</w:t>
      </w:r>
      <w:proofErr w:type="spellEnd"/>
      <w:r w:rsidR="003030D8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  <w:r w:rsidR="00D741E1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– </w:t>
      </w:r>
      <w:r w:rsidR="003030D8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2012</w:t>
      </w:r>
      <w:r w:rsidR="00D741E1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- </w:t>
      </w:r>
      <w:r w:rsidR="00D741E1"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="003030D8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19(4)</w:t>
      </w:r>
      <w:r w:rsidR="00D741E1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– P. </w:t>
      </w:r>
      <w:r w:rsidR="003030D8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250-62.</w:t>
      </w:r>
    </w:p>
    <w:p w14:paraId="62C4467B" w14:textId="72D44205" w:rsidR="003030D8" w:rsidRPr="0058365D" w:rsidRDefault="000A2146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13. </w:t>
      </w:r>
      <w:r w:rsidR="00D741E1"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Middleton M.S.  </w:t>
      </w:r>
      <w:r w:rsidR="003030D8"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Diagnostic accuracy of magnetic resonance imaging hepatic proton density </w:t>
      </w:r>
      <w:r w:rsidR="00D741E1"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fat fraction in pediatric nonalcoholic fatty liver disease / M.S. Middleton, M.L. Van Natta, E.R. </w:t>
      </w:r>
      <w:proofErr w:type="spellStart"/>
      <w:r w:rsidR="00D741E1"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Heba</w:t>
      </w:r>
      <w:proofErr w:type="spellEnd"/>
      <w:r w:rsidR="00D741E1"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B80094"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[et al.] // </w:t>
      </w:r>
      <w:r w:rsidR="003030D8" w:rsidRPr="0058365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Hepatology</w:t>
      </w:r>
      <w:r w:rsidR="003030D8"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B80094"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</w:t>
      </w:r>
      <w:r w:rsidR="003030D8"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2018</w:t>
      </w:r>
      <w:r w:rsidR="00D741E1"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- </w:t>
      </w:r>
      <w:r w:rsidR="00D741E1"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№ </w:t>
      </w:r>
      <w:r w:rsidR="003030D8"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67(3)</w:t>
      </w:r>
      <w:r w:rsidR="00D741E1"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-  P. </w:t>
      </w:r>
      <w:r w:rsidR="003030D8"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858–872. doi:10.1002/hep.29596</w:t>
      </w:r>
    </w:p>
    <w:p w14:paraId="1D9EDCDF" w14:textId="77777777" w:rsidR="00CB69BC" w:rsidRPr="0058365D" w:rsidRDefault="00CB69BC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14.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Pacifico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L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Association of serum triglyceride-to-HDL cholesterol ratio with carotid artery intima-media thickness, insulin resistance and nonalcoholic fatty liver disease in children and adolescents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bookmarkStart w:id="11" w:name="_Hlk77028950"/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/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L.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Pacifico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E.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Bonci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G.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Andreoli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2F2F2"/>
          <w:lang w:val="en-US"/>
        </w:rPr>
        <w:t xml:space="preserve">[et al.] // </w:t>
      </w:r>
      <w:bookmarkEnd w:id="11"/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Nutr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Metab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Cardiovasc Dis. – 2014. -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24(7)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– Р.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737-43.</w:t>
      </w:r>
    </w:p>
    <w:p w14:paraId="45D62D14" w14:textId="77777777" w:rsidR="00CB69BC" w:rsidRPr="0058365D" w:rsidRDefault="00CB69BC" w:rsidP="00DA52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Pacifico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L.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Hepatic steatosis and thyroid function tests in overweight and obese children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/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L.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Pacifico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E.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Bonci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G.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Andreoli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2F2F2"/>
          <w:lang w:val="en-US"/>
        </w:rPr>
        <w:t>[et al.] //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Int J Endocrinol. – 2013. -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2013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–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P. 381-014.</w:t>
      </w:r>
    </w:p>
    <w:p w14:paraId="37A07DEB" w14:textId="77777777" w:rsidR="00CB69BC" w:rsidRPr="0058365D" w:rsidRDefault="00CB69BC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16.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Ratziu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V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A position statement on NAFLD/NASH based on the EASL 2009 special conference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</w:t>
      </w:r>
      <w:bookmarkStart w:id="12" w:name="_Hlk77028703"/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V.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Ratziu</w:t>
      </w:r>
      <w:bookmarkEnd w:id="12"/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S.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Bellentani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H. Cortez-Pinto Day </w:t>
      </w:r>
      <w:bookmarkStart w:id="13" w:name="_Hlk77029142"/>
      <w:r w:rsidRPr="0058365D">
        <w:rPr>
          <w:rFonts w:ascii="Times New Roman" w:hAnsi="Times New Roman" w:cs="Times New Roman"/>
          <w:sz w:val="24"/>
          <w:szCs w:val="24"/>
          <w:shd w:val="clear" w:color="auto" w:fill="F2F2F2"/>
          <w:lang w:val="en-US"/>
        </w:rPr>
        <w:t xml:space="preserve">[et al.] </w:t>
      </w:r>
      <w:bookmarkEnd w:id="13"/>
      <w:r w:rsidRPr="0058365D">
        <w:rPr>
          <w:rFonts w:ascii="Times New Roman" w:hAnsi="Times New Roman" w:cs="Times New Roman"/>
          <w:sz w:val="24"/>
          <w:szCs w:val="24"/>
          <w:shd w:val="clear" w:color="auto" w:fill="F2F2F2"/>
          <w:lang w:val="en-US"/>
        </w:rPr>
        <w:t xml:space="preserve">//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J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Hepatol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– 2010. - 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53(2). – P. 372-84.</w:t>
      </w:r>
    </w:p>
    <w:p w14:paraId="1CF8AD5F" w14:textId="21654D09" w:rsidR="00CB69BC" w:rsidRPr="0058365D" w:rsidRDefault="00CB69BC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lastRenderedPageBreak/>
        <w:t xml:space="preserve">17.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Swiderska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-Syn M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Hedgehog pathway and pediatric nonalcoholic fatty liver disease / M.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Swiderska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-Syn, A. Suzuki, C.D. Guy [et al.] // Hepatology. – 2013. -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57(5)</w:t>
      </w:r>
      <w:r w:rsidR="00BB4346"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– Р.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1814-25.</w:t>
      </w:r>
    </w:p>
    <w:p w14:paraId="0B1FD2A8" w14:textId="77777777" w:rsidR="00CB69BC" w:rsidRPr="0058365D" w:rsidRDefault="00CB69BC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18.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Vajro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P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Diagnosis of nonalcoholic fatty liver disease in children and adolescents: position paper of the ESPGHAN Hepatology Committee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P.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Vajro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S.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Lenta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P. </w:t>
      </w:r>
      <w:proofErr w:type="spellStart"/>
      <w:proofErr w:type="gram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Socha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 [</w:t>
      </w:r>
      <w:proofErr w:type="gram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et al.] // J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Pediatr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Gastroenterol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Nutr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– 2012. -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54(5)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– Р.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700-13.</w:t>
      </w:r>
    </w:p>
    <w:p w14:paraId="6DB1C625" w14:textId="77777777" w:rsidR="00CB69BC" w:rsidRPr="0058365D" w:rsidRDefault="00CB69BC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en-US"/>
        </w:rPr>
        <w:t>Younossi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 Z.M. Global epidemiology of nonalcoholic fatty liver disease. Meta-analytic assessment of prevalence, incidence and outcomes / Z.M.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en-US"/>
        </w:rPr>
        <w:t>Younossi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, A.B. Koenig, D.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en-US"/>
        </w:rPr>
        <w:t>Abdelatif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, Y. Henry, M.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en-US"/>
        </w:rPr>
        <w:t>Wymer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en-US"/>
        </w:rPr>
        <w:t>Hepatolog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. - </w:t>
      </w:r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 2016 – 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 64 (1). – P.73-84.</w:t>
      </w:r>
    </w:p>
    <w:p w14:paraId="662BDAF2" w14:textId="7BCADD8A" w:rsidR="0099149A" w:rsidRPr="0058365D" w:rsidRDefault="0099149A" w:rsidP="00DA5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0A1F9E2" w14:textId="78E6BF03" w:rsidR="006A6FB6" w:rsidRPr="00381678" w:rsidRDefault="006A6FB6" w:rsidP="00DA529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529E">
        <w:rPr>
          <w:rFonts w:ascii="Times New Roman" w:hAnsi="Times New Roman" w:cs="Times New Roman"/>
          <w:b/>
          <w:sz w:val="24"/>
          <w:szCs w:val="24"/>
          <w:lang w:val="en-US"/>
        </w:rPr>
        <w:t>REFERENSES</w:t>
      </w:r>
    </w:p>
    <w:p w14:paraId="54F06E36" w14:textId="29F95117" w:rsidR="006A6FB6" w:rsidRPr="0058365D" w:rsidRDefault="006A6FB6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Nakaz</w:t>
      </w:r>
      <w:proofErr w:type="spellEnd"/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</w:t>
      </w:r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MOZ</w:t>
      </w:r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Ukrainy</w:t>
      </w:r>
      <w:proofErr w:type="spellEnd"/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</w:t>
      </w:r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vid</w:t>
      </w:r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06.11.2014 </w:t>
      </w:r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№</w:t>
      </w:r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826 “</w:t>
      </w:r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Pro</w:t>
      </w:r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zatverdgennya</w:t>
      </w:r>
      <w:proofErr w:type="spellEnd"/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</w:t>
      </w:r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ta</w:t>
      </w:r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vprovadgennya</w:t>
      </w:r>
      <w:proofErr w:type="spellEnd"/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medyko</w:t>
      </w:r>
      <w:proofErr w:type="spellEnd"/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-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tehnologichnyh</w:t>
      </w:r>
      <w:proofErr w:type="spellEnd"/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dokumentiv</w:t>
      </w:r>
      <w:proofErr w:type="spellEnd"/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zi</w:t>
      </w:r>
      <w:proofErr w:type="spellEnd"/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standartyzacii</w:t>
      </w:r>
      <w:proofErr w:type="spellEnd"/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medychnoi</w:t>
      </w:r>
      <w:proofErr w:type="spellEnd"/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dopomogy</w:t>
      </w:r>
      <w:proofErr w:type="spellEnd"/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</w:t>
      </w:r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pry</w:t>
      </w:r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hronichnyh</w:t>
      </w:r>
      <w:proofErr w:type="spellEnd"/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neinfekciynyh</w:t>
      </w:r>
      <w:proofErr w:type="spellEnd"/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>hepatytah</w:t>
      </w:r>
      <w:proofErr w:type="spellEnd"/>
      <w:r w:rsidR="00814728" w:rsidRPr="00381678"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  <w:t>”.</w:t>
      </w:r>
      <w:r w:rsidR="00814728"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6C0E7C2" w14:textId="3F9E5D6D" w:rsidR="006A6FB6" w:rsidRPr="0058365D" w:rsidRDefault="006A6FB6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</w:pPr>
      <w:r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2.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Stepanov</w:t>
      </w:r>
      <w:proofErr w:type="spellEnd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 </w:t>
      </w:r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Y</w:t>
      </w:r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. </w:t>
      </w:r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M</w:t>
      </w:r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.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Nealkoholna</w:t>
      </w:r>
      <w:proofErr w:type="spellEnd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gzyrova</w:t>
      </w:r>
      <w:proofErr w:type="spellEnd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hvoroba</w:t>
      </w:r>
      <w:proofErr w:type="spellEnd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pechinky</w:t>
      </w:r>
      <w:proofErr w:type="spellEnd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 </w:t>
      </w:r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v</w:t>
      </w:r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ditey</w:t>
      </w:r>
      <w:proofErr w:type="spellEnd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: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suchasnyi</w:t>
      </w:r>
      <w:proofErr w:type="spellEnd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poglyad</w:t>
      </w:r>
      <w:proofErr w:type="spellEnd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na</w:t>
      </w:r>
      <w:proofErr w:type="spellEnd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mozlyvosti</w:t>
      </w:r>
      <w:proofErr w:type="spellEnd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diagnostyky</w:t>
      </w:r>
      <w:proofErr w:type="spellEnd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i</w:t>
      </w:r>
      <w:proofErr w:type="spellEnd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likuvannya</w:t>
      </w:r>
      <w:proofErr w:type="spellEnd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 (</w:t>
      </w:r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I</w:t>
      </w:r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chastyna</w:t>
      </w:r>
      <w:proofErr w:type="spellEnd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)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/ </w:t>
      </w:r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Y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. М.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Stepanov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, О. </w:t>
      </w:r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YE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.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Abaturov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, </w:t>
      </w:r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N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. </w:t>
      </w:r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Y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.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Zavgorodnya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, І. </w:t>
      </w:r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Y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.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Skyrda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 // </w:t>
      </w:r>
      <w:proofErr w:type="spellStart"/>
      <w:r w:rsidR="00814728"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Gastroenterologiya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. - 2015. - № 3. - С. 122-131. </w:t>
      </w:r>
    </w:p>
    <w:p w14:paraId="5187C4A8" w14:textId="77777777" w:rsidR="006A6FB6" w:rsidRPr="0058365D" w:rsidRDefault="006A6FB6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3.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Alisi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A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Non-alcoholic fatty liver disease and metabolic syndrome in adolescents: pathogenetic role of genetic background and intrauterine environment / A.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Alisi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S.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Cianfarani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M. </w:t>
      </w:r>
      <w:proofErr w:type="gram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Manco 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2F2F2"/>
          <w:lang w:val="en-US"/>
        </w:rPr>
        <w:t>[</w:t>
      </w:r>
      <w:proofErr w:type="gramEnd"/>
      <w:r w:rsidRPr="0058365D">
        <w:rPr>
          <w:rFonts w:ascii="Times New Roman" w:hAnsi="Times New Roman" w:cs="Times New Roman"/>
          <w:sz w:val="24"/>
          <w:szCs w:val="24"/>
          <w:shd w:val="clear" w:color="auto" w:fill="F2F2F2"/>
          <w:lang w:val="en-US"/>
        </w:rPr>
        <w:t xml:space="preserve">et al.] //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Ann Med. – 2012. - 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44(1). –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 29-40.</w:t>
      </w:r>
    </w:p>
    <w:p w14:paraId="6090504C" w14:textId="77777777" w:rsidR="006A6FB6" w:rsidRPr="0058365D" w:rsidRDefault="006A6FB6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Chalasani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N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The diagnosis and management of non-alcoholic fatty liver disease: Practice guideline by the American Association for the Study of Liver Diseases, American College of Gastroenterology, and the American Gastroenterological Association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N.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Chalasani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Z.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Younossi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J.E. Lavine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2F2F2"/>
          <w:lang w:val="en-US"/>
        </w:rPr>
        <w:t xml:space="preserve">[et al.]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// Am J Gastroenterol. – 2012. -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107(6)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– Р.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811-26.</w:t>
      </w:r>
    </w:p>
    <w:p w14:paraId="1B6569B3" w14:textId="77777777" w:rsidR="006A6FB6" w:rsidRPr="0058365D" w:rsidRDefault="006A6FB6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5. Deng J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Quantitative MRI for hepatic fat fraction and T2 measurement in pediatric patients with non-alcoholic fatty liver disease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J.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Deng, M.N. Fishbein, C.K. Rigsby [et al.] //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Pediatr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Radiol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– 2014. -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44(11)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– Р.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1379-87.</w:t>
      </w:r>
    </w:p>
    <w:p w14:paraId="1C94B5B2" w14:textId="77777777" w:rsidR="006A6FB6" w:rsidRPr="0058365D" w:rsidRDefault="006A6FB6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6.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Dezsofi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A. Liver biopsy in children: position paper of the ESPGHAN Hepatology Committee / A.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Dezsofi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U. Baumann, A. Dhawan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[et al.]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// </w:t>
      </w:r>
      <w:r w:rsidRPr="0058365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J </w:t>
      </w:r>
      <w:proofErr w:type="spellStart"/>
      <w:r w:rsidRPr="0058365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Pediatr</w:t>
      </w:r>
      <w:proofErr w:type="spellEnd"/>
      <w:r w:rsidRPr="0058365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Gastroenterol </w:t>
      </w:r>
      <w:proofErr w:type="spellStart"/>
      <w:r w:rsidRPr="0058365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Nutr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- 2015. -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№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60(3). – P. 408–420.</w:t>
      </w:r>
    </w:p>
    <w:p w14:paraId="100B33F3" w14:textId="77777777" w:rsidR="006A6FB6" w:rsidRPr="0058365D" w:rsidRDefault="006A6FB6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7. Goyal N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 progression and natural history of pediatric nonalcoholic fatty liver disease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/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Goyal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B.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Schwimmer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//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58365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Clin</w:t>
      </w:r>
      <w:r w:rsidRPr="0058365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58365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Liver Dis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–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2016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- №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20(2)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– Р.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325–338. </w:t>
      </w:r>
      <w:proofErr w:type="gramStart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doi:10.1016/j.cld</w:t>
      </w:r>
      <w:proofErr w:type="gramEnd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.2015.10.003</w:t>
      </w:r>
    </w:p>
    <w:p w14:paraId="18D4B34B" w14:textId="77777777" w:rsidR="006A6FB6" w:rsidRPr="0058365D" w:rsidRDefault="006A6FB6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Marzuillo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Pediatric fatty liver disease: role of ethnicity and genetics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/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Р.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Marzuillo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E.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Miraglia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del Giudice, N. Santoro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//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58365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World J Gastroenterol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– 2014. -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№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20(23)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- №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7347–7355. doi:10.3748/</w:t>
      </w:r>
      <w:proofErr w:type="gramStart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wjg.v20.i</w:t>
      </w:r>
      <w:proofErr w:type="gramEnd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23.7347</w:t>
      </w:r>
    </w:p>
    <w:p w14:paraId="32EEF8B2" w14:textId="77777777" w:rsidR="006A6FB6" w:rsidRPr="00381678" w:rsidRDefault="006A6FB6" w:rsidP="00DA529E">
      <w:pPr>
        <w:spacing w:line="36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</w:pPr>
      <w:r w:rsidRPr="00381678"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  <w:t xml:space="preserve">9. Masarone </w:t>
      </w:r>
      <w:r w:rsidRPr="00DA529E">
        <w:rPr>
          <w:rStyle w:val="a9"/>
          <w:rFonts w:ascii="Times New Roman" w:hAnsi="Times New Roman" w:cs="Times New Roman"/>
          <w:b w:val="0"/>
          <w:sz w:val="24"/>
          <w:szCs w:val="24"/>
        </w:rPr>
        <w:t>М</w:t>
      </w:r>
      <w:r w:rsidRPr="00381678"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gramStart"/>
      <w:r w:rsidRPr="00381678"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  <w:t>Non Alcoholic</w:t>
      </w:r>
      <w:proofErr w:type="gramEnd"/>
      <w:r w:rsidRPr="00381678"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  <w:t xml:space="preserve"> Fatty Liver. Epidemiology and Natural history / M. Masarone, A. Federico, L. Abenavoli [et al.] // Rev Recent Clin Trials. — 2014. [Epub ahead of print].</w:t>
      </w:r>
    </w:p>
    <w:p w14:paraId="14C7A433" w14:textId="77777777" w:rsidR="006A6FB6" w:rsidRPr="0058365D" w:rsidRDefault="006A6FB6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10. Monteiro P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Body composition variables as predictors of NAFLD by ultrasound in obese children and adolescents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P.A.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Monteiro, B de M Antunes, L.S. Silveira [et al.] // BMC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Pediatr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– 2014. -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14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– Р.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25.</w:t>
      </w:r>
    </w:p>
    <w:p w14:paraId="49F302B5" w14:textId="77777777" w:rsidR="006A6FB6" w:rsidRPr="0058365D" w:rsidRDefault="006A6FB6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11. </w:t>
      </w:r>
      <w:proofErr w:type="spellStart"/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Ozhan</w:t>
      </w:r>
      <w:proofErr w:type="spellEnd"/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B. Insulin sensitivity indices: Fasting </w:t>
      </w:r>
      <w:r w:rsidRPr="0058365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versus</w:t>
      </w:r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 glucose-stimulated indices in pediatric non-alcoholic fatty liver disease / B. </w:t>
      </w:r>
      <w:proofErr w:type="spellStart"/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Ozhan</w:t>
      </w:r>
      <w:proofErr w:type="spellEnd"/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D. </w:t>
      </w:r>
      <w:proofErr w:type="spellStart"/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Ersoy</w:t>
      </w:r>
      <w:proofErr w:type="spellEnd"/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S. </w:t>
      </w:r>
      <w:proofErr w:type="spellStart"/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Kiremitci</w:t>
      </w:r>
      <w:proofErr w:type="spellEnd"/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[et al.] </w:t>
      </w:r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// </w:t>
      </w:r>
      <w:r w:rsidRPr="0058365D">
        <w:rPr>
          <w:rStyle w:val="ref-journal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Eur. Rev. Med. </w:t>
      </w:r>
      <w:proofErr w:type="spellStart"/>
      <w:r w:rsidRPr="0058365D">
        <w:rPr>
          <w:rStyle w:val="ref-journal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Pharmacol</w:t>
      </w:r>
      <w:proofErr w:type="spellEnd"/>
      <w:r w:rsidRPr="0058365D">
        <w:rPr>
          <w:rStyle w:val="ref-journal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. Sci. - </w:t>
      </w:r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2015. - </w:t>
      </w:r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№ </w:t>
      </w:r>
      <w:r w:rsidRPr="0058365D">
        <w:rPr>
          <w:rStyle w:val="ref-vol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19</w:t>
      </w:r>
      <w:r w:rsidRPr="0058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- P. 3450–3458.</w:t>
      </w:r>
    </w:p>
    <w:p w14:paraId="0ABBACDA" w14:textId="77777777" w:rsidR="006A6FB6" w:rsidRPr="0058365D" w:rsidRDefault="006A6FB6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12.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Ovchinsky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N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Liver biopsy in modern clinical practice: a pediatric point-of-view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N.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Ovchinsky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R.K. Moreira, J. H.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Lefkowitch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// Adv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Anat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Pathol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– 2012. -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19(4). – P. 250-62.</w:t>
      </w:r>
    </w:p>
    <w:p w14:paraId="5CE2EB87" w14:textId="77777777" w:rsidR="006A6FB6" w:rsidRPr="0058365D" w:rsidRDefault="006A6FB6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13.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Middleton M.S.  Diagnostic accuracy of magnetic resonance imaging hepatic proton density fat fraction in pediatric nonalcoholic fatty liver disease / M.S. Middleton, M.L. Van Natta, E.R.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Heba</w:t>
      </w:r>
      <w:proofErr w:type="spellEnd"/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[et al.] // </w:t>
      </w:r>
      <w:r w:rsidRPr="0058365D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Hepatology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- 2018. -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№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67(3). -  P. 858–872. doi:10.1002/hep.29596</w:t>
      </w:r>
    </w:p>
    <w:p w14:paraId="08728D10" w14:textId="77777777" w:rsidR="006A6FB6" w:rsidRPr="0058365D" w:rsidRDefault="006A6FB6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14.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Pacifico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L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Association of serum triglyceride-to-HDL cholesterol ratio with carotid artery intima-media thickness, insulin resistance and nonalcoholic fatty liver disease in children and adolescents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L.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Pacifico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E.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Bonci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G.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Andreoli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2F2F2"/>
          <w:lang w:val="en-US"/>
        </w:rPr>
        <w:t xml:space="preserve">[et al.] //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Nutr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Metab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Cardiovasc Dis. – 2014. -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24(7)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– Р.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737-43.</w:t>
      </w:r>
    </w:p>
    <w:p w14:paraId="2D9A4B52" w14:textId="77777777" w:rsidR="006A6FB6" w:rsidRPr="0058365D" w:rsidRDefault="006A6FB6" w:rsidP="00DA52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Pacifico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L.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Hepatic steatosis and thyroid function tests in overweight and obese children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/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L.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Pacifico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E.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Bonci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G.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Andreoli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2F2F2"/>
          <w:lang w:val="en-US"/>
        </w:rPr>
        <w:t>[et al.] //</w:t>
      </w:r>
      <w:r w:rsidRPr="005836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Int J Endocrinol. – 2013. -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2013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–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P. 381-014.</w:t>
      </w:r>
    </w:p>
    <w:p w14:paraId="13485E96" w14:textId="77777777" w:rsidR="006A6FB6" w:rsidRPr="0058365D" w:rsidRDefault="006A6FB6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16.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Ratziu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V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A position statement on NAFLD/NASH based on the EASL 2009 special conference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V.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Ratziu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S.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Bellentani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H. Cortez-Pinto Day </w:t>
      </w:r>
      <w:r w:rsidRPr="0058365D">
        <w:rPr>
          <w:rFonts w:ascii="Times New Roman" w:hAnsi="Times New Roman" w:cs="Times New Roman"/>
          <w:sz w:val="24"/>
          <w:szCs w:val="24"/>
          <w:shd w:val="clear" w:color="auto" w:fill="F2F2F2"/>
          <w:lang w:val="en-US"/>
        </w:rPr>
        <w:t xml:space="preserve">[et al.] //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J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Hepatol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– 2010. - 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53(2). – P. 372-84.</w:t>
      </w:r>
    </w:p>
    <w:p w14:paraId="5A615324" w14:textId="77777777" w:rsidR="006A6FB6" w:rsidRPr="0058365D" w:rsidRDefault="006A6FB6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17.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Swiderska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-Syn M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Hedgehog pathway and pediatric nonalcoholic fatty liver disease / M.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Swiderska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-Syn, A. Suzuki, C.D. Guy [et al.] // Hepatology. – 2013. -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57(5)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– Р.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1814-25.</w:t>
      </w:r>
    </w:p>
    <w:p w14:paraId="62BF8430" w14:textId="77777777" w:rsidR="006A6FB6" w:rsidRPr="0058365D" w:rsidRDefault="006A6FB6" w:rsidP="00DA52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lastRenderedPageBreak/>
        <w:t xml:space="preserve">18.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Vajro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P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Diagnosis of nonalcoholic fatty liver disease in children and adolescents: position paper of the ESPGHAN Hepatology Committee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/ </w:t>
      </w:r>
      <w:r w:rsidRPr="00583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P.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Vajro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S.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Lenta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P. </w:t>
      </w:r>
      <w:proofErr w:type="spellStart"/>
      <w:proofErr w:type="gram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Socha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 [</w:t>
      </w:r>
      <w:proofErr w:type="gram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et al.] // J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Pediatr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Gastroenterol </w:t>
      </w:r>
      <w:proofErr w:type="spellStart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Nutr</w:t>
      </w:r>
      <w:proofErr w:type="spellEnd"/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– 2012. -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№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54(5)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– Р. </w:t>
      </w:r>
      <w:r w:rsidRPr="0058365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700-13.</w:t>
      </w:r>
    </w:p>
    <w:p w14:paraId="683F05CB" w14:textId="77777777" w:rsidR="006A6FB6" w:rsidRPr="0058365D" w:rsidRDefault="006A6FB6" w:rsidP="00DA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en-US"/>
        </w:rPr>
        <w:t>Younossi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 Z.M. Global epidemiology of nonalcoholic fatty liver disease. Meta-analytic assessment of prevalence, incidence and outcomes / Z.M.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en-US"/>
        </w:rPr>
        <w:t>Younossi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, A.B. Koenig, D.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en-US"/>
        </w:rPr>
        <w:t>Abdelatif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, Y. Henry, M.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en-US"/>
        </w:rPr>
        <w:t>Wymer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58365D">
        <w:rPr>
          <w:rFonts w:ascii="Times New Roman" w:hAnsi="Times New Roman" w:cs="Times New Roman"/>
          <w:sz w:val="24"/>
          <w:szCs w:val="24"/>
          <w:lang w:val="en-US"/>
        </w:rPr>
        <w:t>Hepatolog</w:t>
      </w:r>
      <w:proofErr w:type="spellEnd"/>
      <w:r w:rsidRPr="0058365D">
        <w:rPr>
          <w:rFonts w:ascii="Times New Roman" w:hAnsi="Times New Roman" w:cs="Times New Roman"/>
          <w:sz w:val="24"/>
          <w:szCs w:val="24"/>
          <w:lang w:val="uk-UA"/>
        </w:rPr>
        <w:t xml:space="preserve">. - </w:t>
      </w:r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 2016 – </w:t>
      </w:r>
      <w:r w:rsidRPr="0058365D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58365D">
        <w:rPr>
          <w:rFonts w:ascii="Times New Roman" w:hAnsi="Times New Roman" w:cs="Times New Roman"/>
          <w:sz w:val="24"/>
          <w:szCs w:val="24"/>
          <w:lang w:val="en-US"/>
        </w:rPr>
        <w:t xml:space="preserve"> 64 (1). – P.73-84.</w:t>
      </w:r>
    </w:p>
    <w:p w14:paraId="54CE2D36" w14:textId="77777777" w:rsidR="006A6FB6" w:rsidRPr="0058365D" w:rsidRDefault="006A6FB6" w:rsidP="00DA529E">
      <w:pPr>
        <w:spacing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14:paraId="473AD5EB" w14:textId="77777777" w:rsidR="006A6FB6" w:rsidRPr="0058365D" w:rsidRDefault="006A6FB6" w:rsidP="00DA529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A6FB6" w:rsidRPr="0058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06B14"/>
    <w:multiLevelType w:val="hybridMultilevel"/>
    <w:tmpl w:val="5A18B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51083"/>
    <w:multiLevelType w:val="hybridMultilevel"/>
    <w:tmpl w:val="6720A9B4"/>
    <w:lvl w:ilvl="0" w:tplc="C09EF6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95"/>
    <w:rsid w:val="0004485E"/>
    <w:rsid w:val="000A2146"/>
    <w:rsid w:val="000C4A31"/>
    <w:rsid w:val="000E75F4"/>
    <w:rsid w:val="00121788"/>
    <w:rsid w:val="00152356"/>
    <w:rsid w:val="0019578A"/>
    <w:rsid w:val="001B2769"/>
    <w:rsid w:val="002B449E"/>
    <w:rsid w:val="003030D8"/>
    <w:rsid w:val="00305FE7"/>
    <w:rsid w:val="003721D4"/>
    <w:rsid w:val="00372258"/>
    <w:rsid w:val="00381678"/>
    <w:rsid w:val="00387795"/>
    <w:rsid w:val="0044232D"/>
    <w:rsid w:val="004475AE"/>
    <w:rsid w:val="00453179"/>
    <w:rsid w:val="004A1BDB"/>
    <w:rsid w:val="004F5E94"/>
    <w:rsid w:val="0058365D"/>
    <w:rsid w:val="005C34B5"/>
    <w:rsid w:val="0060169D"/>
    <w:rsid w:val="006473F8"/>
    <w:rsid w:val="006875BA"/>
    <w:rsid w:val="0069221A"/>
    <w:rsid w:val="006A6FB6"/>
    <w:rsid w:val="00745E0D"/>
    <w:rsid w:val="007568FE"/>
    <w:rsid w:val="007B13B3"/>
    <w:rsid w:val="007D380C"/>
    <w:rsid w:val="007E57FA"/>
    <w:rsid w:val="00814728"/>
    <w:rsid w:val="00844C36"/>
    <w:rsid w:val="00846E11"/>
    <w:rsid w:val="008B59CF"/>
    <w:rsid w:val="008B6FB2"/>
    <w:rsid w:val="008D50A7"/>
    <w:rsid w:val="0099149A"/>
    <w:rsid w:val="009C2DCE"/>
    <w:rsid w:val="00A1170B"/>
    <w:rsid w:val="00A43F99"/>
    <w:rsid w:val="00AF3513"/>
    <w:rsid w:val="00B13B87"/>
    <w:rsid w:val="00B6245D"/>
    <w:rsid w:val="00B654CE"/>
    <w:rsid w:val="00B80094"/>
    <w:rsid w:val="00BB4346"/>
    <w:rsid w:val="00C04CA3"/>
    <w:rsid w:val="00C54653"/>
    <w:rsid w:val="00C71D7B"/>
    <w:rsid w:val="00C75D43"/>
    <w:rsid w:val="00CB1C6B"/>
    <w:rsid w:val="00CB69BC"/>
    <w:rsid w:val="00CE67C0"/>
    <w:rsid w:val="00D0560D"/>
    <w:rsid w:val="00D35580"/>
    <w:rsid w:val="00D741E1"/>
    <w:rsid w:val="00DA529E"/>
    <w:rsid w:val="00E82C31"/>
    <w:rsid w:val="00EB5E0C"/>
    <w:rsid w:val="00EC3597"/>
    <w:rsid w:val="00F13142"/>
    <w:rsid w:val="00F1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F453"/>
  <w15:chartTrackingRefBased/>
  <w15:docId w15:val="{0EAF6733-C657-4589-AC0B-7E2CC972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1C6B"/>
    <w:rPr>
      <w:i/>
      <w:iCs/>
    </w:rPr>
  </w:style>
  <w:style w:type="character" w:styleId="a5">
    <w:name w:val="Hyperlink"/>
    <w:basedOn w:val="a0"/>
    <w:uiPriority w:val="99"/>
    <w:unhideWhenUsed/>
    <w:rsid w:val="00844C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44C3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44C36"/>
    <w:pPr>
      <w:ind w:left="720"/>
      <w:contextualSpacing/>
    </w:pPr>
  </w:style>
  <w:style w:type="paragraph" w:styleId="a8">
    <w:name w:val="No Spacing"/>
    <w:uiPriority w:val="1"/>
    <w:qFormat/>
    <w:rsid w:val="0045317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1523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2356"/>
    <w:rPr>
      <w:rFonts w:ascii="Consolas" w:hAnsi="Consolas"/>
      <w:sz w:val="20"/>
      <w:szCs w:val="20"/>
    </w:rPr>
  </w:style>
  <w:style w:type="character" w:customStyle="1" w:styleId="ref-journal">
    <w:name w:val="ref-journal"/>
    <w:basedOn w:val="a0"/>
    <w:rsid w:val="00CB69BC"/>
  </w:style>
  <w:style w:type="character" w:customStyle="1" w:styleId="ref-vol">
    <w:name w:val="ref-vol"/>
    <w:basedOn w:val="a0"/>
    <w:rsid w:val="00CB69BC"/>
  </w:style>
  <w:style w:type="character" w:styleId="a9">
    <w:name w:val="Strong"/>
    <w:basedOn w:val="a0"/>
    <w:uiPriority w:val="22"/>
    <w:qFormat/>
    <w:rsid w:val="00DA5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1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0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4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6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4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buv.gov.ua/UJRN/gastro_2015_3_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MOZ2403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E9240-CE39-4DCD-A317-F22C8FA3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11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2021-07-11T15:10:00Z</dcterms:created>
  <dcterms:modified xsi:type="dcterms:W3CDTF">2021-07-16T20:45:00Z</dcterms:modified>
</cp:coreProperties>
</file>