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C0" w:rsidRPr="001A252C" w:rsidRDefault="00372EC0" w:rsidP="00372EC0">
      <w:pPr>
        <w:jc w:val="right"/>
        <w:rPr>
          <w:rFonts w:ascii="Times New Roman" w:hAnsi="Times New Roman" w:cs="Times New Roman"/>
          <w:b/>
          <w:sz w:val="28"/>
          <w:szCs w:val="28"/>
        </w:rPr>
      </w:pPr>
      <w:r w:rsidRPr="001A252C">
        <w:rPr>
          <w:rFonts w:ascii="Times New Roman" w:hAnsi="Times New Roman" w:cs="Times New Roman"/>
          <w:b/>
          <w:sz w:val="28"/>
          <w:szCs w:val="28"/>
        </w:rPr>
        <w:t>Берч В.В.,</w:t>
      </w:r>
    </w:p>
    <w:p w:rsidR="00372EC0" w:rsidRPr="00372EC0" w:rsidRDefault="00372EC0" w:rsidP="00372EC0">
      <w:pPr>
        <w:jc w:val="right"/>
        <w:rPr>
          <w:rFonts w:ascii="Times New Roman" w:hAnsi="Times New Roman" w:cs="Times New Roman"/>
          <w:sz w:val="28"/>
          <w:szCs w:val="28"/>
        </w:rPr>
      </w:pPr>
      <w:r w:rsidRPr="00372EC0">
        <w:rPr>
          <w:rFonts w:ascii="Times New Roman" w:hAnsi="Times New Roman" w:cs="Times New Roman"/>
          <w:sz w:val="28"/>
          <w:szCs w:val="28"/>
        </w:rPr>
        <w:t>к.ю.н., доц. каф. конституційного права</w:t>
      </w:r>
    </w:p>
    <w:p w:rsidR="00372EC0" w:rsidRPr="00372EC0" w:rsidRDefault="00372EC0" w:rsidP="00372EC0">
      <w:pPr>
        <w:jc w:val="right"/>
        <w:rPr>
          <w:rFonts w:ascii="Times New Roman" w:hAnsi="Times New Roman" w:cs="Times New Roman"/>
          <w:sz w:val="28"/>
          <w:szCs w:val="28"/>
        </w:rPr>
      </w:pPr>
      <w:r w:rsidRPr="00372EC0">
        <w:rPr>
          <w:rFonts w:ascii="Times New Roman" w:hAnsi="Times New Roman" w:cs="Times New Roman"/>
          <w:sz w:val="28"/>
          <w:szCs w:val="28"/>
        </w:rPr>
        <w:t>та порівняльного правознавства</w:t>
      </w:r>
    </w:p>
    <w:p w:rsidR="00372EC0" w:rsidRPr="00372EC0" w:rsidRDefault="00372EC0" w:rsidP="00372EC0">
      <w:pPr>
        <w:jc w:val="right"/>
        <w:rPr>
          <w:rFonts w:ascii="Times New Roman" w:hAnsi="Times New Roman" w:cs="Times New Roman"/>
          <w:sz w:val="28"/>
          <w:szCs w:val="28"/>
        </w:rPr>
      </w:pPr>
      <w:r w:rsidRPr="00372EC0">
        <w:rPr>
          <w:rFonts w:ascii="Times New Roman" w:hAnsi="Times New Roman" w:cs="Times New Roman"/>
          <w:sz w:val="28"/>
          <w:szCs w:val="28"/>
        </w:rPr>
        <w:t>Ужгородського національного університету</w:t>
      </w:r>
    </w:p>
    <w:p w:rsidR="002266C7" w:rsidRDefault="00372EC0" w:rsidP="00372EC0">
      <w:pPr>
        <w:jc w:val="right"/>
        <w:rPr>
          <w:rFonts w:ascii="Times New Roman" w:hAnsi="Times New Roman" w:cs="Times New Roman"/>
          <w:sz w:val="28"/>
          <w:szCs w:val="28"/>
        </w:rPr>
      </w:pPr>
      <w:r w:rsidRPr="00372EC0">
        <w:rPr>
          <w:rFonts w:ascii="Times New Roman" w:hAnsi="Times New Roman" w:cs="Times New Roman"/>
          <w:sz w:val="28"/>
          <w:szCs w:val="28"/>
        </w:rPr>
        <w:t xml:space="preserve">м. Ужгород, </w:t>
      </w:r>
      <w:r>
        <w:rPr>
          <w:rFonts w:ascii="Times New Roman" w:hAnsi="Times New Roman" w:cs="Times New Roman"/>
          <w:sz w:val="28"/>
          <w:szCs w:val="28"/>
        </w:rPr>
        <w:t>Україна</w:t>
      </w:r>
    </w:p>
    <w:p w:rsidR="00372EC0" w:rsidRDefault="00372EC0" w:rsidP="00372EC0">
      <w:pPr>
        <w:jc w:val="right"/>
        <w:rPr>
          <w:rFonts w:ascii="Times New Roman" w:hAnsi="Times New Roman" w:cs="Times New Roman"/>
          <w:sz w:val="28"/>
          <w:szCs w:val="28"/>
        </w:rPr>
      </w:pPr>
    </w:p>
    <w:p w:rsidR="001A252C" w:rsidRPr="001A252C" w:rsidRDefault="001A252C" w:rsidP="001A252C">
      <w:pPr>
        <w:spacing w:after="0" w:line="360" w:lineRule="auto"/>
        <w:ind w:firstLine="709"/>
        <w:jc w:val="center"/>
        <w:rPr>
          <w:rFonts w:ascii="Times New Roman" w:hAnsi="Times New Roman" w:cs="Times New Roman"/>
          <w:b/>
          <w:sz w:val="28"/>
          <w:szCs w:val="28"/>
          <w:lang w:val="ru-RU"/>
        </w:rPr>
      </w:pPr>
      <w:r w:rsidRPr="001A252C">
        <w:rPr>
          <w:rFonts w:ascii="Times New Roman" w:hAnsi="Times New Roman" w:cs="Times New Roman"/>
          <w:b/>
          <w:sz w:val="28"/>
          <w:szCs w:val="28"/>
          <w:lang w:val="ru-RU"/>
        </w:rPr>
        <w:t>БЕЗПОСЕРЕДНЯ УЧАСТЬ Н</w:t>
      </w:r>
      <w:bookmarkStart w:id="0" w:name="_GoBack"/>
      <w:bookmarkEnd w:id="0"/>
      <w:r w:rsidRPr="001A252C">
        <w:rPr>
          <w:rFonts w:ascii="Times New Roman" w:hAnsi="Times New Roman" w:cs="Times New Roman"/>
          <w:b/>
          <w:sz w:val="28"/>
          <w:szCs w:val="28"/>
          <w:lang w:val="ru-RU"/>
        </w:rPr>
        <w:t>АРОДУ У ЗДІЙСНЕННІ СУДОЧИНСТВА ЯК НЕВІД'ЄМНИЙ ЕЛЕМЕНТ ТРАНСПАРЕНТНОСТІ СУДОВОЇ ВЛАДИ</w:t>
      </w:r>
    </w:p>
    <w:p w:rsidR="001A252C" w:rsidRPr="001A252C" w:rsidRDefault="001A252C" w:rsidP="001A252C">
      <w:pPr>
        <w:spacing w:after="0" w:line="360" w:lineRule="auto"/>
        <w:ind w:firstLine="709"/>
        <w:jc w:val="both"/>
        <w:rPr>
          <w:rFonts w:ascii="Times New Roman" w:hAnsi="Times New Roman" w:cs="Times New Roman"/>
          <w:sz w:val="28"/>
          <w:szCs w:val="28"/>
        </w:rPr>
      </w:pPr>
      <w:r w:rsidRPr="001A252C">
        <w:rPr>
          <w:rFonts w:ascii="Times New Roman" w:hAnsi="Times New Roman" w:cs="Times New Roman"/>
          <w:sz w:val="28"/>
          <w:szCs w:val="28"/>
        </w:rPr>
        <w:t>Базовим вектором, стратегічним курсом та орієнтиром на шляху до забезпечення незалежності судової влади, поряд з одночасним посиленням горизонтальної підзвітності судової влади перед іншими гілками влади, є підвищення її соціальної відповідальності перед громадянами через засоби масової інформації та громадянське суспільство.</w:t>
      </w:r>
    </w:p>
    <w:p w:rsidR="001A252C" w:rsidRPr="001A252C" w:rsidRDefault="001A252C" w:rsidP="001A252C">
      <w:pPr>
        <w:spacing w:after="0" w:line="360" w:lineRule="auto"/>
        <w:ind w:firstLine="709"/>
        <w:jc w:val="both"/>
        <w:rPr>
          <w:rFonts w:ascii="Times New Roman" w:hAnsi="Times New Roman" w:cs="Times New Roman"/>
          <w:b/>
          <w:sz w:val="28"/>
          <w:szCs w:val="28"/>
          <w:lang w:val="ru-RU"/>
        </w:rPr>
      </w:pPr>
      <w:r w:rsidRPr="001A252C">
        <w:rPr>
          <w:rFonts w:ascii="Times New Roman" w:hAnsi="Times New Roman" w:cs="Times New Roman"/>
          <w:sz w:val="28"/>
          <w:szCs w:val="28"/>
          <w:lang w:val="ru-RU"/>
        </w:rPr>
        <w:t xml:space="preserve">Як зазначає професор </w:t>
      </w:r>
      <w:r w:rsidRPr="001A252C">
        <w:rPr>
          <w:rFonts w:ascii="Times New Roman" w:hAnsi="Times New Roman" w:cs="Times New Roman"/>
          <w:sz w:val="28"/>
          <w:szCs w:val="28"/>
        </w:rPr>
        <w:t>Т. Гарасимів, судову владу можна розглядати як «результат політичного компромісу, який досягається між законодавчою та виконавчою владою». Водночас науковець виділяє таке терміно-поняття як «синхронно незалежна судова влада», під якою розуміє «результат компромісу, що досягається між державою та громадянським суспільством». У цьому контексті особливого значення набуває громадський контроль за відправленням правосуддя. Суспільство може «реалізовуватися» через безпосередню участь народу у здійсненні судової влади – насамперед присяжних. У</w:t>
      </w:r>
      <w:r w:rsidRPr="001A252C">
        <w:rPr>
          <w:rFonts w:ascii="Times New Roman" w:hAnsi="Times New Roman" w:cs="Times New Roman"/>
          <w:sz w:val="28"/>
          <w:szCs w:val="28"/>
          <w:lang w:val="ru-RU"/>
        </w:rPr>
        <w:t>часть народу у здійсненні судової влади через присяжних є важливою складовою транспарентності судової влади, поряд з такими ключовими її засадами як: гласність та відкритість судового процесу, йог</w:t>
      </w:r>
      <w:r>
        <w:rPr>
          <w:rFonts w:ascii="Times New Roman" w:hAnsi="Times New Roman" w:cs="Times New Roman"/>
          <w:sz w:val="28"/>
          <w:szCs w:val="28"/>
          <w:lang w:val="ru-RU"/>
        </w:rPr>
        <w:t>о доступність та прозорість [1</w:t>
      </w:r>
      <w:r w:rsidRPr="001A252C">
        <w:rPr>
          <w:rFonts w:ascii="Times New Roman" w:hAnsi="Times New Roman" w:cs="Times New Roman"/>
          <w:sz w:val="28"/>
          <w:szCs w:val="28"/>
          <w:lang w:val="ru-RU"/>
        </w:rPr>
        <w:t>].</w:t>
      </w:r>
      <w:r w:rsidRPr="001A252C">
        <w:rPr>
          <w:rStyle w:val="a5"/>
          <w:rFonts w:ascii="Times New Roman" w:hAnsi="Times New Roman" w:cs="Times New Roman"/>
          <w:b/>
          <w:sz w:val="28"/>
          <w:szCs w:val="28"/>
          <w:lang w:val="ru-RU"/>
        </w:rPr>
        <w:t xml:space="preserve"> </w:t>
      </w:r>
    </w:p>
    <w:p w:rsidR="001A252C" w:rsidRPr="001A252C" w:rsidRDefault="001A252C" w:rsidP="001A252C">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1A252C">
        <w:rPr>
          <w:rFonts w:ascii="Times New Roman" w:hAnsi="Times New Roman" w:cs="Times New Roman"/>
          <w:sz w:val="28"/>
          <w:szCs w:val="28"/>
          <w:bdr w:val="none" w:sz="0" w:space="0" w:color="auto" w:frame="1"/>
          <w:shd w:val="clear" w:color="auto" w:fill="FFFFFF"/>
        </w:rPr>
        <w:t xml:space="preserve">Доступ громадськості до судів як один із елементів транспарентності судової влади, у тому числі через засоби масової інформації, є важливим для оприлюднення результатів роботи судової влади. Такий доступ може включати запис судових засідань за допомогою засобів відео- та аудіофіксації. Преса також відіграє фундаментальну роль у інформуванні громадян щодо роботи судів, особливо щодо справ, котрі становлять суспільний інтерес. Таким чином, доступ </w:t>
      </w:r>
      <w:r w:rsidRPr="001A252C">
        <w:rPr>
          <w:rFonts w:ascii="Times New Roman" w:hAnsi="Times New Roman" w:cs="Times New Roman"/>
          <w:sz w:val="28"/>
          <w:szCs w:val="28"/>
          <w:bdr w:val="none" w:sz="0" w:space="0" w:color="auto" w:frame="1"/>
          <w:shd w:val="clear" w:color="auto" w:fill="FFFFFF"/>
        </w:rPr>
        <w:lastRenderedPageBreak/>
        <w:t>преси до залів судових засідань, особисто чи віддалено, є одним із способів сприяння проінформованості громадськості про ці процеси та їх результати.</w:t>
      </w:r>
    </w:p>
    <w:p w:rsidR="001A252C" w:rsidRPr="001A252C" w:rsidRDefault="001A252C" w:rsidP="001A252C">
      <w:pPr>
        <w:spacing w:after="0" w:line="360" w:lineRule="auto"/>
        <w:ind w:firstLine="709"/>
        <w:jc w:val="both"/>
        <w:rPr>
          <w:rFonts w:ascii="Times New Roman" w:hAnsi="Times New Roman" w:cs="Times New Roman"/>
          <w:sz w:val="28"/>
          <w:szCs w:val="28"/>
        </w:rPr>
      </w:pPr>
      <w:r w:rsidRPr="001A252C">
        <w:rPr>
          <w:rFonts w:ascii="Times New Roman" w:hAnsi="Times New Roman" w:cs="Times New Roman"/>
          <w:sz w:val="28"/>
          <w:szCs w:val="28"/>
          <w:lang w:val="ru-RU"/>
        </w:rPr>
        <w:t xml:space="preserve">Транспарентність судової влади є полісемантичною правовою категорією, котра може розглядатися у різних вимірах. До прикладу, дослідниця О.Овсяннікова пропонує розглядати транспарентність судової влади як </w:t>
      </w:r>
      <w:r w:rsidRPr="001A252C">
        <w:rPr>
          <w:rFonts w:ascii="Times New Roman" w:hAnsi="Times New Roman" w:cs="Times New Roman"/>
          <w:sz w:val="28"/>
          <w:szCs w:val="28"/>
        </w:rPr>
        <w:t>«стан організації судової системи і юридичної діяльності суду в демократичному суспільстві, який задовольняє потреби громадськості в отриманні інформації про механізм функціонування судових інстанцій, про ухвалені судами рішення, структуру, порядок формування та діяльності органів суддівського самоврядування, про підбір та процедуру призначення суддів, їх відповідальність та відповідає закріпленим у міжнар</w:t>
      </w:r>
      <w:r>
        <w:rPr>
          <w:rFonts w:ascii="Times New Roman" w:hAnsi="Times New Roman" w:cs="Times New Roman"/>
          <w:sz w:val="28"/>
          <w:szCs w:val="28"/>
        </w:rPr>
        <w:t>одно-правових актах вимогам» [2</w:t>
      </w:r>
      <w:r w:rsidRPr="001A252C">
        <w:rPr>
          <w:rFonts w:ascii="Times New Roman" w:hAnsi="Times New Roman" w:cs="Times New Roman"/>
          <w:sz w:val="28"/>
          <w:szCs w:val="28"/>
        </w:rPr>
        <w:t>, c. 12].</w:t>
      </w:r>
      <w:r w:rsidRPr="001A252C">
        <w:rPr>
          <w:rFonts w:ascii="Times New Roman" w:hAnsi="Times New Roman" w:cs="Times New Roman"/>
          <w:sz w:val="28"/>
          <w:szCs w:val="28"/>
        </w:rPr>
        <w:t xml:space="preserve"> </w:t>
      </w:r>
      <w:r w:rsidRPr="001A252C">
        <w:rPr>
          <w:rFonts w:ascii="Times New Roman" w:hAnsi="Times New Roman" w:cs="Times New Roman"/>
          <w:sz w:val="28"/>
          <w:szCs w:val="28"/>
        </w:rPr>
        <w:t xml:space="preserve">Учена також звертає увагу на те, що коли ми говоримо про поняття транспарентності у контексті здійснення судової влади, то маємо на увазі інформаційну відкритість діяльності судової системи, і, відповідно, право на свободу інформації, котра стосується суду як державного органу, конкретного судового провадження, дисциплінарних органів, органів суддівського самоврядування тощо </w:t>
      </w:r>
      <w:r>
        <w:rPr>
          <w:rFonts w:ascii="Times New Roman" w:hAnsi="Times New Roman" w:cs="Times New Roman"/>
          <w:sz w:val="28"/>
          <w:szCs w:val="28"/>
        </w:rPr>
        <w:t>[3</w:t>
      </w:r>
      <w:r w:rsidRPr="001A252C">
        <w:rPr>
          <w:rFonts w:ascii="Times New Roman" w:hAnsi="Times New Roman" w:cs="Times New Roman"/>
          <w:sz w:val="28"/>
          <w:szCs w:val="28"/>
        </w:rPr>
        <w:t xml:space="preserve">]. </w:t>
      </w:r>
    </w:p>
    <w:p w:rsidR="001A252C" w:rsidRPr="001A252C" w:rsidRDefault="001A252C" w:rsidP="001A252C">
      <w:pPr>
        <w:spacing w:after="0" w:line="360" w:lineRule="auto"/>
        <w:ind w:firstLine="709"/>
        <w:jc w:val="both"/>
        <w:rPr>
          <w:rFonts w:ascii="Times New Roman" w:hAnsi="Times New Roman" w:cs="Times New Roman"/>
          <w:sz w:val="28"/>
          <w:szCs w:val="28"/>
        </w:rPr>
      </w:pPr>
      <w:r w:rsidRPr="001A252C">
        <w:rPr>
          <w:rFonts w:ascii="Times New Roman" w:hAnsi="Times New Roman" w:cs="Times New Roman"/>
          <w:sz w:val="28"/>
          <w:szCs w:val="28"/>
        </w:rPr>
        <w:t xml:space="preserve">Як справедливо зазначає С. Прилуцький, безпосереднє народовладдя під час здійснення судочинства є однією із форм громадського контролю за діяльністю судової влади. Дослідник іменує суд присяжних «суддями суспільної совісті», котрий виступає «в якості оптимального гаранта прав особистості». Одним із важливих складових компонентів участі народу у здійсненні судової влади науковець виділяє мирове судочинство </w:t>
      </w:r>
      <w:r>
        <w:rPr>
          <w:rFonts w:ascii="Times New Roman" w:hAnsi="Times New Roman" w:cs="Times New Roman"/>
          <w:sz w:val="28"/>
          <w:szCs w:val="28"/>
        </w:rPr>
        <w:t>[ 4</w:t>
      </w:r>
      <w:r w:rsidRPr="001A252C">
        <w:rPr>
          <w:rFonts w:ascii="Times New Roman" w:hAnsi="Times New Roman" w:cs="Times New Roman"/>
          <w:sz w:val="28"/>
          <w:szCs w:val="28"/>
        </w:rPr>
        <w:t>,</w:t>
      </w:r>
      <w:r>
        <w:rPr>
          <w:rFonts w:ascii="Times New Roman" w:hAnsi="Times New Roman" w:cs="Times New Roman"/>
          <w:sz w:val="28"/>
          <w:szCs w:val="28"/>
        </w:rPr>
        <w:t xml:space="preserve"> </w:t>
      </w:r>
      <w:r w:rsidRPr="001A252C">
        <w:rPr>
          <w:rFonts w:ascii="Times New Roman" w:hAnsi="Times New Roman" w:cs="Times New Roman"/>
          <w:sz w:val="28"/>
          <w:szCs w:val="28"/>
        </w:rPr>
        <w:t>с.</w:t>
      </w:r>
      <w:r>
        <w:rPr>
          <w:rFonts w:ascii="Times New Roman" w:hAnsi="Times New Roman" w:cs="Times New Roman"/>
          <w:sz w:val="28"/>
          <w:szCs w:val="28"/>
        </w:rPr>
        <w:t xml:space="preserve"> </w:t>
      </w:r>
      <w:r w:rsidRPr="001A252C">
        <w:rPr>
          <w:rFonts w:ascii="Times New Roman" w:hAnsi="Times New Roman" w:cs="Times New Roman"/>
          <w:sz w:val="28"/>
          <w:szCs w:val="28"/>
        </w:rPr>
        <w:t>237].</w:t>
      </w:r>
    </w:p>
    <w:p w:rsidR="001A252C" w:rsidRPr="001A252C" w:rsidRDefault="001A252C" w:rsidP="001A252C">
      <w:pPr>
        <w:spacing w:after="0" w:line="360" w:lineRule="auto"/>
        <w:ind w:firstLine="709"/>
        <w:jc w:val="both"/>
        <w:rPr>
          <w:rFonts w:ascii="Times New Roman" w:hAnsi="Times New Roman" w:cs="Times New Roman"/>
          <w:sz w:val="28"/>
          <w:szCs w:val="28"/>
          <w:shd w:val="clear" w:color="auto" w:fill="FFFFFF"/>
        </w:rPr>
      </w:pPr>
      <w:r w:rsidRPr="001A252C">
        <w:rPr>
          <w:rFonts w:ascii="Times New Roman" w:hAnsi="Times New Roman" w:cs="Times New Roman"/>
          <w:sz w:val="28"/>
          <w:szCs w:val="28"/>
          <w:shd w:val="clear" w:color="auto" w:fill="FFFFFF"/>
        </w:rPr>
        <w:t xml:space="preserve">На наш погляд, транспарентність судової влади є комплексним, засадничим терміно-поняттям, котре акумулює у собі  ціннісні характерні принципи здійснення судочинства, котрі пов’язані із трьохвимірним механізмом взаємодії «держава – судова влада – громадянське суспільство». Ефективність функціонування усіх компонентів транспарентності судової влади впливає на рівень довіри суспільства до судової системи. При цьому важливим є те, що у кожній державі можуть існувати різні стандарти транспарентності судової влади, що спричинено порядком формування складу суддівського корпусу, </w:t>
      </w:r>
      <w:r w:rsidRPr="001A252C">
        <w:rPr>
          <w:rFonts w:ascii="Times New Roman" w:hAnsi="Times New Roman" w:cs="Times New Roman"/>
          <w:sz w:val="28"/>
          <w:szCs w:val="28"/>
          <w:shd w:val="clear" w:color="auto" w:fill="FFFFFF"/>
        </w:rPr>
        <w:lastRenderedPageBreak/>
        <w:t>особливостями організації та функціонування судової влади, системою цінностей, притаманних державі та суспільству, іншими показниками.</w:t>
      </w:r>
    </w:p>
    <w:p w:rsidR="001A252C" w:rsidRDefault="001A252C" w:rsidP="001A252C">
      <w:pPr>
        <w:spacing w:after="0" w:line="360" w:lineRule="auto"/>
        <w:ind w:firstLine="709"/>
        <w:jc w:val="both"/>
        <w:rPr>
          <w:rFonts w:ascii="Times New Roman" w:hAnsi="Times New Roman" w:cs="Times New Roman"/>
          <w:sz w:val="28"/>
          <w:szCs w:val="28"/>
        </w:rPr>
      </w:pPr>
      <w:r w:rsidRPr="001A252C">
        <w:rPr>
          <w:rFonts w:ascii="Times New Roman" w:hAnsi="Times New Roman" w:cs="Times New Roman"/>
          <w:sz w:val="28"/>
          <w:szCs w:val="28"/>
          <w:lang w:val="ru-RU"/>
        </w:rPr>
        <w:t>Транспарентність судової влади, котра проявляється крізь площину безпосередньої участі народу у здійсненні судочинства, передбачає активізацію та зміцнення</w:t>
      </w:r>
      <w:r w:rsidRPr="001A252C">
        <w:rPr>
          <w:rFonts w:ascii="Times New Roman" w:hAnsi="Times New Roman" w:cs="Times New Roman"/>
          <w:sz w:val="28"/>
          <w:szCs w:val="28"/>
        </w:rPr>
        <w:t xml:space="preserve"> прозорості судочинства, сприяє підвищенню поінформованості громадськості про специфіку відправлення правосуддя, що є ключовим фактором сприяння незалежності суддів та верховенству права.</w:t>
      </w:r>
    </w:p>
    <w:p w:rsidR="001A252C" w:rsidRDefault="001A252C" w:rsidP="001A252C">
      <w:pPr>
        <w:spacing w:after="0" w:line="360" w:lineRule="auto"/>
        <w:ind w:firstLine="709"/>
        <w:jc w:val="both"/>
        <w:rPr>
          <w:rFonts w:ascii="Times New Roman" w:hAnsi="Times New Roman" w:cs="Times New Roman"/>
          <w:sz w:val="28"/>
          <w:szCs w:val="28"/>
        </w:rPr>
      </w:pPr>
    </w:p>
    <w:p w:rsidR="001A252C" w:rsidRPr="001A252C" w:rsidRDefault="001A252C" w:rsidP="001A252C">
      <w:pPr>
        <w:spacing w:after="0" w:line="360" w:lineRule="auto"/>
        <w:ind w:firstLine="709"/>
        <w:jc w:val="center"/>
        <w:rPr>
          <w:rFonts w:ascii="Times New Roman" w:hAnsi="Times New Roman" w:cs="Times New Roman"/>
          <w:b/>
          <w:sz w:val="28"/>
          <w:szCs w:val="28"/>
        </w:rPr>
      </w:pPr>
      <w:r w:rsidRPr="001A252C">
        <w:rPr>
          <w:rFonts w:ascii="Times New Roman" w:hAnsi="Times New Roman" w:cs="Times New Roman"/>
          <w:b/>
          <w:sz w:val="28"/>
          <w:szCs w:val="28"/>
        </w:rPr>
        <w:t>Список літератури:</w:t>
      </w:r>
    </w:p>
    <w:p w:rsidR="001A252C" w:rsidRPr="001A252C" w:rsidRDefault="001A252C" w:rsidP="001A252C">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Гарасимів Т. </w:t>
      </w:r>
      <w:r w:rsidRPr="001A252C">
        <w:rPr>
          <w:rFonts w:ascii="Times New Roman" w:hAnsi="Times New Roman" w:cs="Times New Roman"/>
          <w:color w:val="222222"/>
          <w:sz w:val="28"/>
          <w:szCs w:val="28"/>
          <w:shd w:val="clear" w:color="auto" w:fill="FFFFFF"/>
        </w:rPr>
        <w:t>Феномен транспарент</w:t>
      </w:r>
      <w:r>
        <w:rPr>
          <w:rFonts w:ascii="Times New Roman" w:hAnsi="Times New Roman" w:cs="Times New Roman"/>
          <w:color w:val="222222"/>
          <w:sz w:val="28"/>
          <w:szCs w:val="28"/>
          <w:shd w:val="clear" w:color="auto" w:fill="FFFFFF"/>
        </w:rPr>
        <w:t xml:space="preserve">ності судової влади в Україні. </w:t>
      </w:r>
      <w:r w:rsidRPr="001A252C">
        <w:rPr>
          <w:rFonts w:ascii="Times New Roman" w:hAnsi="Times New Roman" w:cs="Times New Roman"/>
          <w:i/>
          <w:iCs/>
          <w:color w:val="222222"/>
          <w:sz w:val="28"/>
          <w:szCs w:val="28"/>
          <w:shd w:val="clear" w:color="auto" w:fill="FFFFFF"/>
        </w:rPr>
        <w:t>Захист прав і свобод людини та громадянина в умовах формування правової держави: збірник тез ІХ Всеукраїнської науково-практичної конференції</w:t>
      </w:r>
      <w:r w:rsidRPr="001A252C">
        <w:rPr>
          <w:rFonts w:ascii="Times New Roman" w:hAnsi="Times New Roman" w:cs="Times New Roman"/>
          <w:color w:val="222222"/>
          <w:sz w:val="28"/>
          <w:szCs w:val="28"/>
          <w:shd w:val="clear" w:color="auto" w:fill="FFFFFF"/>
        </w:rPr>
        <w:t xml:space="preserve">. Видавництво Львівської політехніки, 2020. </w:t>
      </w:r>
      <w:hyperlink r:id="rId8" w:history="1">
        <w:r w:rsidRPr="001A252C">
          <w:rPr>
            <w:rStyle w:val="a7"/>
            <w:rFonts w:ascii="Times New Roman" w:hAnsi="Times New Roman" w:cs="Times New Roman"/>
            <w:sz w:val="28"/>
            <w:szCs w:val="28"/>
            <w:shd w:val="clear" w:color="auto" w:fill="FFFFFF"/>
          </w:rPr>
          <w:t>http://ena.lp.edu.ua/bitstream/ntb/53900/2/2020_Harasymiv_T_Z-Fenomen_transparentnosti_3-5.pdf</w:t>
        </w:r>
      </w:hyperlink>
      <w:r w:rsidRPr="001A252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(дата звернення: 06.08.2021).</w:t>
      </w:r>
    </w:p>
    <w:p w:rsidR="001A252C" w:rsidRPr="001A252C" w:rsidRDefault="001A252C" w:rsidP="001A252C">
      <w:pPr>
        <w:pStyle w:val="a3"/>
        <w:numPr>
          <w:ilvl w:val="0"/>
          <w:numId w:val="2"/>
        </w:numPr>
        <w:spacing w:line="360" w:lineRule="auto"/>
        <w:ind w:left="0" w:firstLine="0"/>
        <w:jc w:val="both"/>
        <w:rPr>
          <w:rFonts w:ascii="Times New Roman" w:hAnsi="Times New Roman" w:cs="Times New Roman"/>
          <w:sz w:val="28"/>
          <w:szCs w:val="28"/>
        </w:rPr>
      </w:pPr>
      <w:r w:rsidRPr="001A252C">
        <w:rPr>
          <w:rFonts w:ascii="Times New Roman" w:hAnsi="Times New Roman" w:cs="Times New Roman"/>
          <w:sz w:val="28"/>
          <w:szCs w:val="28"/>
        </w:rPr>
        <w:t xml:space="preserve">Овсяннікова О. Транспарентність судової влади: автореф. дис... канд. юрид. наук: спец. 12.00.10 «Судоустрій; прокуратура та </w:t>
      </w:r>
      <w:r>
        <w:rPr>
          <w:rFonts w:ascii="Times New Roman" w:hAnsi="Times New Roman" w:cs="Times New Roman"/>
          <w:sz w:val="28"/>
          <w:szCs w:val="28"/>
        </w:rPr>
        <w:t>адвокатура».</w:t>
      </w:r>
      <w:r w:rsidRPr="001A252C">
        <w:rPr>
          <w:rFonts w:ascii="Times New Roman" w:hAnsi="Times New Roman" w:cs="Times New Roman"/>
          <w:sz w:val="28"/>
          <w:szCs w:val="28"/>
        </w:rPr>
        <w:t xml:space="preserve"> Нац. юрид.</w:t>
      </w:r>
      <w:r>
        <w:rPr>
          <w:rFonts w:ascii="Times New Roman" w:hAnsi="Times New Roman" w:cs="Times New Roman"/>
          <w:sz w:val="28"/>
          <w:szCs w:val="28"/>
        </w:rPr>
        <w:t xml:space="preserve"> акад. України ім. Я.Мудрого. Х., 2009.</w:t>
      </w:r>
      <w:r w:rsidRPr="001A252C">
        <w:rPr>
          <w:rFonts w:ascii="Times New Roman" w:hAnsi="Times New Roman" w:cs="Times New Roman"/>
          <w:sz w:val="28"/>
          <w:szCs w:val="28"/>
        </w:rPr>
        <w:t xml:space="preserve"> 20 с.</w:t>
      </w:r>
    </w:p>
    <w:p w:rsidR="001A252C" w:rsidRDefault="001A252C" w:rsidP="001A252C">
      <w:pPr>
        <w:pStyle w:val="a3"/>
        <w:numPr>
          <w:ilvl w:val="0"/>
          <w:numId w:val="2"/>
        </w:numPr>
        <w:spacing w:line="360" w:lineRule="auto"/>
        <w:ind w:left="0" w:firstLine="0"/>
        <w:jc w:val="both"/>
        <w:rPr>
          <w:rFonts w:ascii="Times New Roman" w:hAnsi="Times New Roman" w:cs="Times New Roman"/>
          <w:sz w:val="28"/>
          <w:szCs w:val="28"/>
        </w:rPr>
      </w:pPr>
      <w:r w:rsidRPr="001A252C">
        <w:rPr>
          <w:rFonts w:ascii="Times New Roman" w:hAnsi="Times New Roman" w:cs="Times New Roman"/>
          <w:color w:val="333333"/>
          <w:sz w:val="28"/>
          <w:szCs w:val="28"/>
          <w:shd w:val="clear" w:color="auto" w:fill="FFFFFF"/>
        </w:rPr>
        <w:t xml:space="preserve">Овсяннікова О. Транспарентність </w:t>
      </w:r>
      <w:r>
        <w:rPr>
          <w:rFonts w:ascii="Times New Roman" w:hAnsi="Times New Roman" w:cs="Times New Roman"/>
          <w:color w:val="333333"/>
          <w:sz w:val="28"/>
          <w:szCs w:val="28"/>
          <w:shd w:val="clear" w:color="auto" w:fill="FFFFFF"/>
        </w:rPr>
        <w:t xml:space="preserve">судової влади: поняття та зміст. </w:t>
      </w:r>
      <w:r w:rsidRPr="001A252C">
        <w:rPr>
          <w:rFonts w:ascii="Times New Roman" w:hAnsi="Times New Roman" w:cs="Times New Roman"/>
          <w:i/>
          <w:color w:val="333333"/>
          <w:sz w:val="28"/>
          <w:szCs w:val="28"/>
          <w:shd w:val="clear" w:color="auto" w:fill="FFFFFF"/>
        </w:rPr>
        <w:t>Вісник Академії правових наук України.</w:t>
      </w:r>
      <w:r>
        <w:rPr>
          <w:rFonts w:ascii="Times New Roman" w:hAnsi="Times New Roman" w:cs="Times New Roman"/>
          <w:color w:val="333333"/>
          <w:sz w:val="28"/>
          <w:szCs w:val="28"/>
          <w:shd w:val="clear" w:color="auto" w:fill="FFFFFF"/>
        </w:rPr>
        <w:t xml:space="preserve"> Х. : Право, 2008. № 4(55). </w:t>
      </w:r>
      <w:r w:rsidRPr="001A252C">
        <w:rPr>
          <w:rFonts w:ascii="Times New Roman" w:hAnsi="Times New Roman" w:cs="Times New Roman"/>
          <w:color w:val="333333"/>
          <w:sz w:val="28"/>
          <w:szCs w:val="28"/>
          <w:shd w:val="clear" w:color="auto" w:fill="FFFFFF"/>
        </w:rPr>
        <w:t xml:space="preserve">С. 228-237. </w:t>
      </w:r>
      <w:hyperlink r:id="rId9" w:history="1">
        <w:r w:rsidRPr="001A252C">
          <w:rPr>
            <w:rStyle w:val="a7"/>
            <w:rFonts w:ascii="Times New Roman" w:hAnsi="Times New Roman" w:cs="Times New Roman"/>
            <w:color w:val="2A6496"/>
            <w:sz w:val="28"/>
            <w:szCs w:val="28"/>
            <w:shd w:val="clear" w:color="auto" w:fill="FFFFFF"/>
          </w:rPr>
          <w:t>http://dspace.nlu.edu.ua/handle/123456789/5703</w:t>
        </w:r>
      </w:hyperlink>
      <w:r>
        <w:rPr>
          <w:rFonts w:ascii="Times New Roman" w:hAnsi="Times New Roman" w:cs="Times New Roman"/>
          <w:sz w:val="28"/>
          <w:szCs w:val="28"/>
        </w:rPr>
        <w:t xml:space="preserve"> </w:t>
      </w:r>
      <w:r>
        <w:rPr>
          <w:rFonts w:ascii="Times New Roman" w:hAnsi="Times New Roman" w:cs="Times New Roman"/>
          <w:color w:val="222222"/>
          <w:sz w:val="28"/>
          <w:szCs w:val="28"/>
          <w:shd w:val="clear" w:color="auto" w:fill="FFFFFF"/>
        </w:rPr>
        <w:t>(дата звернення: 06.08.2021).</w:t>
      </w:r>
    </w:p>
    <w:p w:rsidR="001A252C" w:rsidRPr="001A252C" w:rsidRDefault="001A252C" w:rsidP="001A252C">
      <w:pPr>
        <w:pStyle w:val="a3"/>
        <w:numPr>
          <w:ilvl w:val="0"/>
          <w:numId w:val="2"/>
        </w:numPr>
        <w:spacing w:line="360" w:lineRule="auto"/>
        <w:ind w:left="0" w:firstLine="0"/>
        <w:jc w:val="both"/>
        <w:rPr>
          <w:rFonts w:ascii="Times New Roman" w:hAnsi="Times New Roman" w:cs="Times New Roman"/>
          <w:sz w:val="28"/>
          <w:szCs w:val="28"/>
        </w:rPr>
      </w:pPr>
      <w:r w:rsidRPr="001A252C">
        <w:rPr>
          <w:rFonts w:ascii="Times New Roman" w:hAnsi="Times New Roman" w:cs="Times New Roman"/>
          <w:sz w:val="28"/>
          <w:szCs w:val="28"/>
        </w:rPr>
        <w:t xml:space="preserve">Прилуцький С.В. Громадянське суспільство в механізмі судової влади та правосуддя: теоретико-правовий аспект. </w:t>
      </w:r>
      <w:r w:rsidRPr="001A252C">
        <w:rPr>
          <w:rFonts w:ascii="Times New Roman" w:hAnsi="Times New Roman" w:cs="Times New Roman"/>
          <w:i/>
          <w:sz w:val="28"/>
          <w:szCs w:val="28"/>
        </w:rPr>
        <w:t>Кримінальне право та кримінологія.</w:t>
      </w:r>
      <w:r w:rsidRPr="001A252C">
        <w:rPr>
          <w:rFonts w:ascii="Times New Roman" w:hAnsi="Times New Roman" w:cs="Times New Roman"/>
          <w:sz w:val="28"/>
          <w:szCs w:val="28"/>
        </w:rPr>
        <w:t xml:space="preserve"> 2010. № 1. С. 236–243. </w:t>
      </w:r>
    </w:p>
    <w:p w:rsidR="001A252C" w:rsidRPr="001A252C" w:rsidRDefault="001A252C" w:rsidP="001A252C">
      <w:pPr>
        <w:spacing w:after="0" w:line="360" w:lineRule="auto"/>
        <w:ind w:firstLine="709"/>
        <w:jc w:val="both"/>
        <w:rPr>
          <w:rFonts w:ascii="Times New Roman" w:hAnsi="Times New Roman" w:cs="Times New Roman"/>
          <w:sz w:val="28"/>
          <w:szCs w:val="28"/>
        </w:rPr>
      </w:pPr>
    </w:p>
    <w:p w:rsidR="001D085A" w:rsidRPr="001D085A" w:rsidRDefault="001D085A" w:rsidP="001D085A">
      <w:pPr>
        <w:spacing w:after="0" w:line="360" w:lineRule="auto"/>
        <w:ind w:firstLine="708"/>
        <w:jc w:val="both"/>
        <w:rPr>
          <w:rFonts w:ascii="Times New Roman" w:hAnsi="Times New Roman" w:cs="Times New Roman"/>
          <w:color w:val="009900"/>
          <w:sz w:val="28"/>
          <w:szCs w:val="28"/>
        </w:rPr>
      </w:pPr>
    </w:p>
    <w:sectPr w:rsidR="001D085A" w:rsidRPr="001D08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70" w:rsidRDefault="00BA4270" w:rsidP="00372EC0">
      <w:pPr>
        <w:spacing w:after="0" w:line="240" w:lineRule="auto"/>
      </w:pPr>
      <w:r>
        <w:separator/>
      </w:r>
    </w:p>
  </w:endnote>
  <w:endnote w:type="continuationSeparator" w:id="0">
    <w:p w:rsidR="00BA4270" w:rsidRDefault="00BA4270" w:rsidP="0037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70" w:rsidRDefault="00BA4270" w:rsidP="00372EC0">
      <w:pPr>
        <w:spacing w:after="0" w:line="240" w:lineRule="auto"/>
      </w:pPr>
      <w:r>
        <w:separator/>
      </w:r>
    </w:p>
  </w:footnote>
  <w:footnote w:type="continuationSeparator" w:id="0">
    <w:p w:rsidR="00BA4270" w:rsidRDefault="00BA4270" w:rsidP="0037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326"/>
    <w:multiLevelType w:val="hybridMultilevel"/>
    <w:tmpl w:val="E132DFDE"/>
    <w:lvl w:ilvl="0" w:tplc="B3147B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5F1606B0"/>
    <w:multiLevelType w:val="hybridMultilevel"/>
    <w:tmpl w:val="9F1697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5E"/>
    <w:rsid w:val="000777F8"/>
    <w:rsid w:val="00125B2F"/>
    <w:rsid w:val="001A252C"/>
    <w:rsid w:val="001D085A"/>
    <w:rsid w:val="001E3132"/>
    <w:rsid w:val="002266C7"/>
    <w:rsid w:val="00231D2A"/>
    <w:rsid w:val="002376FA"/>
    <w:rsid w:val="002903CA"/>
    <w:rsid w:val="002F6B29"/>
    <w:rsid w:val="003022A7"/>
    <w:rsid w:val="00372EC0"/>
    <w:rsid w:val="00422234"/>
    <w:rsid w:val="005B632E"/>
    <w:rsid w:val="005D7183"/>
    <w:rsid w:val="00603F17"/>
    <w:rsid w:val="00717004"/>
    <w:rsid w:val="007D0438"/>
    <w:rsid w:val="007F179F"/>
    <w:rsid w:val="00827AF6"/>
    <w:rsid w:val="00944C81"/>
    <w:rsid w:val="009C0F5E"/>
    <w:rsid w:val="00A15AD5"/>
    <w:rsid w:val="00A47342"/>
    <w:rsid w:val="00A55795"/>
    <w:rsid w:val="00A9418A"/>
    <w:rsid w:val="00AC7DEF"/>
    <w:rsid w:val="00B11463"/>
    <w:rsid w:val="00BA4270"/>
    <w:rsid w:val="00BD206F"/>
    <w:rsid w:val="00C17A7E"/>
    <w:rsid w:val="00E20FC7"/>
    <w:rsid w:val="00E45084"/>
    <w:rsid w:val="00E75FE1"/>
    <w:rsid w:val="00E94049"/>
    <w:rsid w:val="00F260C1"/>
    <w:rsid w:val="00FF0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A3D2E-F65D-4196-A1E6-858E1D4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2EC0"/>
    <w:pPr>
      <w:spacing w:after="0" w:line="240" w:lineRule="auto"/>
    </w:pPr>
    <w:rPr>
      <w:sz w:val="20"/>
      <w:szCs w:val="20"/>
    </w:rPr>
  </w:style>
  <w:style w:type="character" w:customStyle="1" w:styleId="a4">
    <w:name w:val="Текст сноски Знак"/>
    <w:basedOn w:val="a0"/>
    <w:link w:val="a3"/>
    <w:uiPriority w:val="99"/>
    <w:rsid w:val="00372EC0"/>
    <w:rPr>
      <w:sz w:val="20"/>
      <w:szCs w:val="20"/>
    </w:rPr>
  </w:style>
  <w:style w:type="character" w:styleId="a5">
    <w:name w:val="footnote reference"/>
    <w:basedOn w:val="a0"/>
    <w:uiPriority w:val="99"/>
    <w:semiHidden/>
    <w:unhideWhenUsed/>
    <w:rsid w:val="00372EC0"/>
    <w:rPr>
      <w:vertAlign w:val="superscript"/>
    </w:rPr>
  </w:style>
  <w:style w:type="paragraph" w:styleId="a6">
    <w:name w:val="List Paragraph"/>
    <w:basedOn w:val="a"/>
    <w:uiPriority w:val="34"/>
    <w:qFormat/>
    <w:rsid w:val="00A47342"/>
    <w:pPr>
      <w:ind w:left="720"/>
      <w:contextualSpacing/>
    </w:pPr>
  </w:style>
  <w:style w:type="character" w:styleId="a7">
    <w:name w:val="Hyperlink"/>
    <w:basedOn w:val="a0"/>
    <w:uiPriority w:val="99"/>
    <w:unhideWhenUsed/>
    <w:rsid w:val="00290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lp.edu.ua/bitstream/ntb/53900/2/2020_Harasymiv_T_Z-Fenomen_transparentnosti_3-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pace.nlu.edu.ua/handle/123456789/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C7DB-8282-4448-ADD6-48F92D45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3590</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Вероніка</dc:creator>
  <cp:keywords/>
  <dc:description/>
  <cp:lastModifiedBy>Учетная запись Майкрософт</cp:lastModifiedBy>
  <cp:revision>3</cp:revision>
  <dcterms:created xsi:type="dcterms:W3CDTF">2021-09-17T09:42:00Z</dcterms:created>
  <dcterms:modified xsi:type="dcterms:W3CDTF">2021-09-21T19:49:00Z</dcterms:modified>
</cp:coreProperties>
</file>