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2E" w:rsidRPr="00B1222E" w:rsidRDefault="00B1222E" w:rsidP="00B1222E">
      <w:pPr>
        <w:autoSpaceDE w:val="0"/>
        <w:autoSpaceDN w:val="0"/>
        <w:adjustRightInd w:val="0"/>
        <w:spacing w:after="0" w:line="240" w:lineRule="auto"/>
        <w:jc w:val="center"/>
        <w:rPr>
          <w:rFonts w:ascii="Times New Roman" w:hAnsi="Times New Roman" w:cs="Times New Roman"/>
          <w:b/>
          <w:bCs/>
          <w:sz w:val="28"/>
          <w:szCs w:val="28"/>
        </w:rPr>
      </w:pPr>
      <w:r w:rsidRPr="00B1222E">
        <w:rPr>
          <w:rFonts w:ascii="Times New Roman" w:hAnsi="Times New Roman" w:cs="Times New Roman"/>
          <w:b/>
          <w:bCs/>
          <w:sz w:val="28"/>
          <w:szCs w:val="28"/>
        </w:rPr>
        <w:t>MULTIDISCIPLINARY ACADEMIC</w:t>
      </w:r>
    </w:p>
    <w:p w:rsidR="00B1222E" w:rsidRDefault="00B1222E" w:rsidP="00B1222E">
      <w:pPr>
        <w:autoSpaceDE w:val="0"/>
        <w:autoSpaceDN w:val="0"/>
        <w:adjustRightInd w:val="0"/>
        <w:spacing w:after="0" w:line="240" w:lineRule="auto"/>
        <w:jc w:val="center"/>
        <w:rPr>
          <w:rFonts w:ascii="Times New Roman" w:hAnsi="Times New Roman" w:cs="Times New Roman"/>
          <w:b/>
          <w:bCs/>
          <w:sz w:val="28"/>
          <w:szCs w:val="28"/>
        </w:rPr>
      </w:pPr>
      <w:r w:rsidRPr="00B1222E">
        <w:rPr>
          <w:rFonts w:ascii="Times New Roman" w:hAnsi="Times New Roman" w:cs="Times New Roman"/>
          <w:b/>
          <w:bCs/>
          <w:sz w:val="28"/>
          <w:szCs w:val="28"/>
        </w:rPr>
        <w:t>RESEARCH AND INNOVATION</w:t>
      </w:r>
    </w:p>
    <w:p w:rsidR="00B1222E" w:rsidRPr="00B1222E" w:rsidRDefault="00B1222E" w:rsidP="00B1222E">
      <w:pPr>
        <w:autoSpaceDE w:val="0"/>
        <w:autoSpaceDN w:val="0"/>
        <w:adjustRightInd w:val="0"/>
        <w:spacing w:after="0" w:line="240" w:lineRule="auto"/>
        <w:jc w:val="center"/>
        <w:rPr>
          <w:rFonts w:ascii="Times New Roman" w:hAnsi="Times New Roman" w:cs="Times New Roman"/>
          <w:b/>
          <w:bCs/>
          <w:sz w:val="28"/>
          <w:szCs w:val="28"/>
        </w:rPr>
      </w:pP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Abstracts of XXVII International Scientific and Practical Conference</w:t>
      </w: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Amsterdam, Netherlands</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 xml:space="preserve">May 25 </w:t>
      </w:r>
      <w:r w:rsidRPr="00B1222E">
        <w:rPr>
          <w:rFonts w:ascii="Times New Roman" w:eastAsia="TimesNewRomanPSMT" w:hAnsi="Times New Roman" w:cs="Times New Roman"/>
          <w:sz w:val="28"/>
          <w:szCs w:val="28"/>
        </w:rPr>
        <w:t xml:space="preserve">– </w:t>
      </w:r>
      <w:r w:rsidRPr="00B1222E">
        <w:rPr>
          <w:rFonts w:ascii="Times New Roman" w:hAnsi="Times New Roman" w:cs="Times New Roman"/>
          <w:sz w:val="28"/>
          <w:szCs w:val="28"/>
        </w:rPr>
        <w:t>28, 2021</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MULTIDISCIPLINARY ACADEMIC RESEARCH AND INNOVATION</w:t>
      </w: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Library of Congress Cataloging-in-Publication Data</w:t>
      </w: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UDC 01.1</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 xml:space="preserve">The XXVII International Science Conference </w:t>
      </w:r>
      <w:r w:rsidRPr="00B1222E">
        <w:rPr>
          <w:rFonts w:ascii="Times New Roman" w:eastAsia="TimesNewRomanPSMT" w:hAnsi="Times New Roman" w:cs="Times New Roman"/>
          <w:sz w:val="28"/>
          <w:szCs w:val="28"/>
        </w:rPr>
        <w:t>«</w:t>
      </w:r>
      <w:r w:rsidRPr="00B1222E">
        <w:rPr>
          <w:rFonts w:ascii="Times New Roman" w:hAnsi="Times New Roman" w:cs="Times New Roman"/>
          <w:sz w:val="28"/>
          <w:szCs w:val="28"/>
        </w:rPr>
        <w:t>Multidisciplinary academic research</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and innovation</w:t>
      </w:r>
      <w:r w:rsidRPr="00B1222E">
        <w:rPr>
          <w:rFonts w:ascii="Times New Roman" w:eastAsia="TimesNewRomanPSMT" w:hAnsi="Times New Roman" w:cs="Times New Roman"/>
          <w:sz w:val="28"/>
          <w:szCs w:val="28"/>
        </w:rPr>
        <w:t xml:space="preserve">», </w:t>
      </w:r>
      <w:r w:rsidRPr="00B1222E">
        <w:rPr>
          <w:rFonts w:ascii="Times New Roman" w:hAnsi="Times New Roman" w:cs="Times New Roman"/>
          <w:sz w:val="28"/>
          <w:szCs w:val="28"/>
        </w:rPr>
        <w:t xml:space="preserve">May 25 </w:t>
      </w:r>
      <w:r w:rsidRPr="00B1222E">
        <w:rPr>
          <w:rFonts w:ascii="Times New Roman" w:eastAsia="TimesNewRomanPSMT" w:hAnsi="Times New Roman" w:cs="Times New Roman"/>
          <w:sz w:val="28"/>
          <w:szCs w:val="28"/>
        </w:rPr>
        <w:t xml:space="preserve">– </w:t>
      </w:r>
      <w:r w:rsidRPr="00B1222E">
        <w:rPr>
          <w:rFonts w:ascii="Times New Roman" w:hAnsi="Times New Roman" w:cs="Times New Roman"/>
          <w:sz w:val="28"/>
          <w:szCs w:val="28"/>
        </w:rPr>
        <w:t>28, 2021, Amsterdam, Netherlands. 839 p.</w:t>
      </w: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ISBN - 978-1-63848-662-6</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DOI - 10.46299/ISG.2021.I.XXVII</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lastRenderedPageBreak/>
        <w:t>EDITORIAL BOARD</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Pluzhnik Elena</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Professor of the Department of Criminal Law and Criminology</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Odessa State University of Internal Affairs Candidate of Law,</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Associate Professor</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Liubchych Anna</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Scientific and Research Institute of Providing Legal Framework for</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the Innovative Development National Academy of Law Sciences of</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Ukraine, Kharkiv, Ukraine, Scientific secretary of Institute</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Liudmyla Polyvana</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Department of Accounting and Auditing Kharkiv</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National Technical University of Agriculture named after Petr</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Vasilenko, Ukraine</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Mushenyk Iryna</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Candidate of Economic Sciences, Associate Professor of</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Mathematical Disciplines , Informatics and Modeling. Podolsk State</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Agrarian Technical University</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Oleksandra Kovalevska</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Dnipropetrovsk State University of Internal Affairs</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Dnipro, Ukraine</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Prudka Liudmyla</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Odessa State University of Internal Affairs,</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Associate Professor of Criminology and Psychology Department</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Slabkyi Hennadii</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Doctor of Medical Sciences, Head of the Department of Health</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Sciences, Uzhhorod National University.</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Marchenko Dmytro</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Ph.D. in Machine Friction and Wear (Tribology), Associate</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Professor of Department of Tractors and Agricultural Machines,</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Maintenance and Servicing, Lecturer, Deputy dean on academic</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affairs of Engineering and Energy Faculty of Mykolayiv National</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Agrarian University (MNAU), Mykolayiv, Ukraine</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Harchenko Roman</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Candidate of Technical Sciences, specialty 05.22.20 - operation and</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repair of vehicles.</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Belei Svitlana</w:t>
      </w:r>
    </w:p>
    <w:p w:rsidR="00B1222E" w:rsidRPr="00B1222E" w:rsidRDefault="00B1222E" w:rsidP="00B1222E">
      <w:pPr>
        <w:autoSpaceDE w:val="0"/>
        <w:autoSpaceDN w:val="0"/>
        <w:adjustRightInd w:val="0"/>
        <w:spacing w:after="0" w:line="240" w:lineRule="auto"/>
        <w:jc w:val="center"/>
        <w:rPr>
          <w:rFonts w:ascii="Times New Roman" w:hAnsi="Times New Roman" w:cs="Times New Roman"/>
          <w:sz w:val="28"/>
          <w:szCs w:val="28"/>
        </w:rPr>
      </w:pPr>
      <w:r w:rsidRPr="00B1222E">
        <w:rPr>
          <w:rFonts w:ascii="Times New Roman" w:hAnsi="Times New Roman" w:cs="Times New Roman"/>
          <w:sz w:val="28"/>
          <w:szCs w:val="28"/>
        </w:rPr>
        <w:t>Ph.D. (Economics), specialty: 08.00.04 "Economics and</w:t>
      </w:r>
    </w:p>
    <w:p w:rsidR="005A363E" w:rsidRDefault="00B1222E" w:rsidP="00B1222E">
      <w:pPr>
        <w:jc w:val="center"/>
        <w:rPr>
          <w:rFonts w:ascii="Times New Roman" w:hAnsi="Times New Roman" w:cs="Times New Roman"/>
          <w:sz w:val="28"/>
          <w:szCs w:val="28"/>
        </w:rPr>
      </w:pPr>
      <w:r w:rsidRPr="00B1222E">
        <w:rPr>
          <w:rFonts w:ascii="Times New Roman" w:hAnsi="Times New Roman" w:cs="Times New Roman"/>
          <w:sz w:val="28"/>
          <w:szCs w:val="28"/>
        </w:rPr>
        <w:t>management of enterprises (by type of economic activity)"</w:t>
      </w:r>
    </w:p>
    <w:p w:rsidR="00B1222E" w:rsidRDefault="00B1222E" w:rsidP="00B1222E">
      <w:pPr>
        <w:jc w:val="both"/>
        <w:rPr>
          <w:rFonts w:ascii="Times New Roman" w:hAnsi="Times New Roman" w:cs="Times New Roman"/>
          <w:sz w:val="28"/>
          <w:szCs w:val="28"/>
        </w:rPr>
      </w:pPr>
    </w:p>
    <w:p w:rsidR="00B1222E" w:rsidRDefault="00B1222E" w:rsidP="00B1222E">
      <w:pPr>
        <w:jc w:val="both"/>
        <w:rPr>
          <w:rFonts w:ascii="Times New Roman" w:hAnsi="Times New Roman" w:cs="Times New Roman"/>
          <w:sz w:val="28"/>
          <w:szCs w:val="28"/>
        </w:rPr>
      </w:pPr>
    </w:p>
    <w:p w:rsidR="00B1222E" w:rsidRDefault="00B1222E" w:rsidP="00B1222E">
      <w:pPr>
        <w:jc w:val="both"/>
        <w:rPr>
          <w:rFonts w:ascii="Times New Roman" w:hAnsi="Times New Roman" w:cs="Times New Roman"/>
          <w:sz w:val="28"/>
          <w:szCs w:val="28"/>
        </w:rPr>
      </w:pPr>
    </w:p>
    <w:p w:rsidR="00B1222E" w:rsidRDefault="00B1222E" w:rsidP="00B1222E">
      <w:pPr>
        <w:jc w:val="both"/>
        <w:rPr>
          <w:rFonts w:ascii="Times New Roman" w:hAnsi="Times New Roman" w:cs="Times New Roman"/>
          <w:sz w:val="28"/>
          <w:szCs w:val="28"/>
        </w:rPr>
      </w:pPr>
    </w:p>
    <w:p w:rsidR="00B1222E" w:rsidRDefault="00B1222E" w:rsidP="00B1222E">
      <w:pPr>
        <w:jc w:val="both"/>
        <w:rPr>
          <w:rFonts w:ascii="Times New Roman" w:hAnsi="Times New Roman" w:cs="Times New Roman"/>
          <w:sz w:val="28"/>
          <w:szCs w:val="28"/>
        </w:rPr>
      </w:pPr>
    </w:p>
    <w:p w:rsidR="00B1222E" w:rsidRPr="00B1222E" w:rsidRDefault="00B1222E" w:rsidP="00B1222E">
      <w:pPr>
        <w:autoSpaceDE w:val="0"/>
        <w:autoSpaceDN w:val="0"/>
        <w:adjustRightInd w:val="0"/>
        <w:spacing w:after="0" w:line="240" w:lineRule="auto"/>
        <w:jc w:val="both"/>
        <w:rPr>
          <w:rFonts w:ascii="Times New Roman" w:hAnsi="Times New Roman" w:cs="Times New Roman"/>
          <w:bCs/>
          <w:sz w:val="28"/>
          <w:szCs w:val="28"/>
        </w:rPr>
      </w:pPr>
      <w:r w:rsidRPr="00B1222E">
        <w:rPr>
          <w:rFonts w:ascii="Times New Roman" w:hAnsi="Times New Roman" w:cs="Times New Roman"/>
          <w:bCs/>
          <w:sz w:val="28"/>
          <w:szCs w:val="28"/>
        </w:rPr>
        <w:t>XXVII Международная научно- практическая конференция "Multidisciplinary academic research and innovation", 25-28 мая 2021, Амстердам, Нидерланды</w:t>
      </w:r>
    </w:p>
    <w:p w:rsidR="00B1222E" w:rsidRPr="00B1222E" w:rsidRDefault="00B1222E" w:rsidP="00B1222E">
      <w:pPr>
        <w:autoSpaceDE w:val="0"/>
        <w:autoSpaceDN w:val="0"/>
        <w:adjustRightInd w:val="0"/>
        <w:spacing w:after="0" w:line="240" w:lineRule="auto"/>
        <w:jc w:val="both"/>
        <w:rPr>
          <w:rFonts w:ascii="Times New Roman" w:hAnsi="Times New Roman" w:cs="Times New Roman"/>
          <w:bCs/>
          <w:sz w:val="28"/>
          <w:szCs w:val="28"/>
        </w:rPr>
      </w:pPr>
    </w:p>
    <w:p w:rsidR="00B1222E" w:rsidRPr="00B1222E" w:rsidRDefault="00B1222E" w:rsidP="00B1222E">
      <w:pPr>
        <w:spacing w:after="0" w:line="360" w:lineRule="auto"/>
        <w:rPr>
          <w:rFonts w:ascii="Times New Roman" w:eastAsia="Calibri" w:hAnsi="Times New Roman" w:cs="Times New Roman"/>
          <w:b/>
          <w:color w:val="FF0000"/>
          <w:sz w:val="28"/>
          <w:szCs w:val="28"/>
        </w:rPr>
      </w:pPr>
      <w:r w:rsidRPr="00B1222E">
        <w:rPr>
          <w:rFonts w:ascii="Times New Roman" w:eastAsia="Calibri" w:hAnsi="Times New Roman" w:cs="Times New Roman"/>
          <w:b/>
          <w:color w:val="FF0000"/>
          <w:sz w:val="28"/>
          <w:szCs w:val="28"/>
        </w:rPr>
        <w:t>Педагогіка</w:t>
      </w:r>
    </w:p>
    <w:p w:rsidR="00B1222E" w:rsidRPr="00B1222E" w:rsidRDefault="00B1222E" w:rsidP="00B1222E">
      <w:pPr>
        <w:spacing w:after="0" w:line="240" w:lineRule="auto"/>
        <w:jc w:val="center"/>
        <w:rPr>
          <w:rFonts w:ascii="Times New Roman" w:eastAsia="Calibri" w:hAnsi="Times New Roman" w:cs="Times New Roman"/>
          <w:b/>
          <w:sz w:val="36"/>
          <w:szCs w:val="36"/>
        </w:rPr>
      </w:pPr>
      <w:r w:rsidRPr="00B1222E">
        <w:rPr>
          <w:rFonts w:ascii="Times New Roman" w:eastAsia="Calibri" w:hAnsi="Times New Roman" w:cs="Times New Roman"/>
          <w:b/>
          <w:sz w:val="36"/>
          <w:szCs w:val="36"/>
        </w:rPr>
        <w:t>КОМУНІКАТИВНА СПРЯМОВАНІСТЬ ВИВЧЕННЯ ІНОЗЕМНОЇ МОВИ СТУДЕНТАМИ СПЕЦІАЛЬНОСТІ «ТУРИЗМ»</w:t>
      </w:r>
    </w:p>
    <w:p w:rsidR="00B1222E" w:rsidRPr="00B1222E" w:rsidRDefault="00B1222E" w:rsidP="00B1222E">
      <w:pPr>
        <w:spacing w:after="0" w:line="240" w:lineRule="auto"/>
        <w:jc w:val="right"/>
        <w:rPr>
          <w:rFonts w:ascii="Times New Roman" w:eastAsia="Calibri" w:hAnsi="Times New Roman" w:cs="Times New Roman"/>
          <w:b/>
          <w:sz w:val="32"/>
          <w:szCs w:val="32"/>
        </w:rPr>
      </w:pPr>
      <w:r w:rsidRPr="00B1222E">
        <w:rPr>
          <w:rFonts w:ascii="Times New Roman" w:eastAsia="Calibri" w:hAnsi="Times New Roman" w:cs="Times New Roman"/>
          <w:b/>
          <w:sz w:val="32"/>
          <w:szCs w:val="32"/>
        </w:rPr>
        <w:t>Данилюк Вікторія Олегівна</w:t>
      </w:r>
    </w:p>
    <w:p w:rsidR="00B1222E" w:rsidRPr="00B1222E" w:rsidRDefault="00B1222E" w:rsidP="00B1222E">
      <w:pPr>
        <w:spacing w:after="0" w:line="240" w:lineRule="auto"/>
        <w:jc w:val="right"/>
        <w:rPr>
          <w:rFonts w:ascii="Times New Roman" w:eastAsia="Calibri" w:hAnsi="Times New Roman" w:cs="Times New Roman"/>
          <w:b/>
          <w:sz w:val="32"/>
          <w:szCs w:val="32"/>
        </w:rPr>
      </w:pPr>
      <w:r w:rsidRPr="00B1222E">
        <w:rPr>
          <w:rFonts w:ascii="Times New Roman" w:eastAsia="Calibri" w:hAnsi="Times New Roman" w:cs="Times New Roman"/>
          <w:b/>
          <w:sz w:val="32"/>
          <w:szCs w:val="32"/>
        </w:rPr>
        <w:t xml:space="preserve">ст. викладач </w:t>
      </w:r>
    </w:p>
    <w:p w:rsidR="00B1222E" w:rsidRPr="00B1222E" w:rsidRDefault="00B1222E" w:rsidP="00B1222E">
      <w:pPr>
        <w:spacing w:after="0" w:line="240" w:lineRule="auto"/>
        <w:jc w:val="right"/>
        <w:rPr>
          <w:rFonts w:ascii="Times New Roman" w:eastAsia="Calibri" w:hAnsi="Times New Roman" w:cs="Times New Roman"/>
          <w:b/>
          <w:sz w:val="32"/>
          <w:szCs w:val="32"/>
        </w:rPr>
      </w:pPr>
      <w:r w:rsidRPr="00B1222E">
        <w:rPr>
          <w:rFonts w:ascii="Times New Roman" w:eastAsia="Calibri" w:hAnsi="Times New Roman" w:cs="Times New Roman"/>
          <w:b/>
          <w:sz w:val="32"/>
          <w:szCs w:val="32"/>
        </w:rPr>
        <w:t xml:space="preserve">кафедра міжнародних комунікацій </w:t>
      </w:r>
    </w:p>
    <w:p w:rsidR="00B1222E" w:rsidRPr="00B1222E" w:rsidRDefault="00B1222E" w:rsidP="00B1222E">
      <w:pPr>
        <w:spacing w:after="0" w:line="240" w:lineRule="auto"/>
        <w:jc w:val="right"/>
        <w:rPr>
          <w:rFonts w:ascii="Times New Roman" w:eastAsia="Calibri" w:hAnsi="Times New Roman" w:cs="Times New Roman"/>
          <w:b/>
          <w:sz w:val="32"/>
          <w:szCs w:val="32"/>
        </w:rPr>
      </w:pPr>
      <w:r w:rsidRPr="00B1222E">
        <w:rPr>
          <w:rFonts w:ascii="Times New Roman" w:eastAsia="Calibri" w:hAnsi="Times New Roman" w:cs="Times New Roman"/>
          <w:b/>
          <w:sz w:val="32"/>
          <w:szCs w:val="32"/>
        </w:rPr>
        <w:t xml:space="preserve">факультету туризму та МК </w:t>
      </w:r>
    </w:p>
    <w:p w:rsidR="00B1222E" w:rsidRPr="00B1222E" w:rsidRDefault="00B1222E" w:rsidP="00B1222E">
      <w:pPr>
        <w:spacing w:after="0" w:line="240" w:lineRule="auto"/>
        <w:jc w:val="right"/>
        <w:rPr>
          <w:rFonts w:ascii="Times New Roman" w:eastAsia="Calibri" w:hAnsi="Times New Roman" w:cs="Times New Roman"/>
          <w:b/>
          <w:sz w:val="32"/>
          <w:szCs w:val="32"/>
        </w:rPr>
      </w:pPr>
      <w:r w:rsidRPr="00B1222E">
        <w:rPr>
          <w:rFonts w:ascii="Times New Roman" w:eastAsia="Calibri" w:hAnsi="Times New Roman" w:cs="Times New Roman"/>
          <w:b/>
          <w:sz w:val="32"/>
          <w:szCs w:val="32"/>
        </w:rPr>
        <w:t>УжНУ</w:t>
      </w:r>
    </w:p>
    <w:p w:rsidR="00B1222E" w:rsidRPr="00B1222E" w:rsidRDefault="00B1222E" w:rsidP="00B1222E">
      <w:pPr>
        <w:spacing w:after="0" w:line="240" w:lineRule="auto"/>
        <w:jc w:val="right"/>
        <w:rPr>
          <w:rFonts w:ascii="Times New Roman" w:eastAsia="Calibri" w:hAnsi="Times New Roman" w:cs="Times New Roman"/>
          <w:b/>
          <w:sz w:val="32"/>
          <w:szCs w:val="32"/>
          <w:lang w:val="ru-RU"/>
        </w:rPr>
      </w:pPr>
      <w:hyperlink r:id="rId4" w:history="1">
        <w:r w:rsidRPr="00B1222E">
          <w:rPr>
            <w:rFonts w:ascii="Times New Roman" w:eastAsia="Calibri" w:hAnsi="Times New Roman" w:cs="Times New Roman"/>
            <w:b/>
            <w:color w:val="0000FF"/>
            <w:sz w:val="32"/>
            <w:szCs w:val="32"/>
            <w:u w:val="single"/>
            <w:lang w:val="en-US"/>
          </w:rPr>
          <w:t>viktoriyamd</w:t>
        </w:r>
        <w:r w:rsidRPr="00B1222E">
          <w:rPr>
            <w:rFonts w:ascii="Times New Roman" w:eastAsia="Calibri" w:hAnsi="Times New Roman" w:cs="Times New Roman"/>
            <w:b/>
            <w:color w:val="0000FF"/>
            <w:sz w:val="32"/>
            <w:szCs w:val="32"/>
            <w:u w:val="single"/>
            <w:lang w:val="ru-RU"/>
          </w:rPr>
          <w:t>12@</w:t>
        </w:r>
        <w:r w:rsidRPr="00B1222E">
          <w:rPr>
            <w:rFonts w:ascii="Times New Roman" w:eastAsia="Calibri" w:hAnsi="Times New Roman" w:cs="Times New Roman"/>
            <w:b/>
            <w:color w:val="0000FF"/>
            <w:sz w:val="32"/>
            <w:szCs w:val="32"/>
            <w:u w:val="single"/>
            <w:lang w:val="en-US"/>
          </w:rPr>
          <w:t>gmail</w:t>
        </w:r>
        <w:r w:rsidRPr="00B1222E">
          <w:rPr>
            <w:rFonts w:ascii="Times New Roman" w:eastAsia="Calibri" w:hAnsi="Times New Roman" w:cs="Times New Roman"/>
            <w:b/>
            <w:color w:val="0000FF"/>
            <w:sz w:val="32"/>
            <w:szCs w:val="32"/>
            <w:u w:val="single"/>
            <w:lang w:val="ru-RU"/>
          </w:rPr>
          <w:t>.</w:t>
        </w:r>
        <w:r w:rsidRPr="00B1222E">
          <w:rPr>
            <w:rFonts w:ascii="Times New Roman" w:eastAsia="Calibri" w:hAnsi="Times New Roman" w:cs="Times New Roman"/>
            <w:b/>
            <w:color w:val="0000FF"/>
            <w:sz w:val="32"/>
            <w:szCs w:val="32"/>
            <w:u w:val="single"/>
            <w:lang w:val="en-US"/>
          </w:rPr>
          <w:t>com</w:t>
        </w:r>
      </w:hyperlink>
    </w:p>
    <w:p w:rsidR="00B1222E" w:rsidRPr="00B1222E" w:rsidRDefault="00B1222E" w:rsidP="00B1222E">
      <w:pPr>
        <w:spacing w:after="0" w:line="240" w:lineRule="auto"/>
        <w:jc w:val="right"/>
        <w:rPr>
          <w:rFonts w:ascii="Times New Roman" w:eastAsia="Calibri" w:hAnsi="Times New Roman" w:cs="Times New Roman"/>
          <w:b/>
          <w:sz w:val="32"/>
          <w:szCs w:val="32"/>
        </w:rPr>
      </w:pPr>
    </w:p>
    <w:p w:rsidR="00B1222E" w:rsidRPr="00B1222E" w:rsidRDefault="00B1222E" w:rsidP="00B1222E">
      <w:pPr>
        <w:spacing w:after="0" w:line="240" w:lineRule="auto"/>
        <w:jc w:val="both"/>
        <w:rPr>
          <w:rFonts w:ascii="Times New Roman" w:eastAsia="TimesNewRomanPSMT" w:hAnsi="Times New Roman" w:cs="Times New Roman"/>
          <w:sz w:val="28"/>
          <w:szCs w:val="28"/>
          <w:lang w:eastAsia="uk-UA"/>
        </w:rPr>
      </w:pPr>
      <w:r w:rsidRPr="00B1222E">
        <w:rPr>
          <w:rFonts w:ascii="Times New Roman" w:eastAsia="TimesNewRomanPSMT" w:hAnsi="Times New Roman" w:cs="Times New Roman"/>
          <w:sz w:val="28"/>
          <w:szCs w:val="28"/>
          <w:lang w:eastAsia="uk-UA"/>
        </w:rPr>
        <w:t xml:space="preserve">        Традиційні та інноваційні методи навчання у процесі монологічного та діалогічного мовлення, читання, роботи з аудіотехнікою, перекладу, що базуються на функціонально-комунікативній моделі мови, дають можливість студентам «Туризм» накопичити певний комунікативний досвід.</w:t>
      </w:r>
    </w:p>
    <w:p w:rsidR="00B1222E" w:rsidRPr="00B1222E" w:rsidRDefault="00B1222E" w:rsidP="00B1222E">
      <w:pPr>
        <w:spacing w:after="0" w:line="240" w:lineRule="auto"/>
        <w:jc w:val="both"/>
        <w:rPr>
          <w:rFonts w:ascii="Times New Roman" w:eastAsia="Calibri" w:hAnsi="Times New Roman" w:cs="Times New Roman"/>
          <w:sz w:val="28"/>
          <w:szCs w:val="28"/>
        </w:rPr>
      </w:pPr>
      <w:r w:rsidRPr="00B1222E">
        <w:rPr>
          <w:rFonts w:ascii="Times New Roman" w:eastAsia="Calibri" w:hAnsi="Times New Roman" w:cs="Times New Roman"/>
          <w:sz w:val="28"/>
          <w:szCs w:val="28"/>
        </w:rPr>
        <w:t xml:space="preserve">      За останні десятиріччя статус іноземної мови набув значного визнання у нових соціально-політичних умовах у нашій країні, у нових формах міжнародних відносин, що знайшло своє відображення, зокрема у змісті «Загальноєвропейських рекомендацій з питань освіти: вивчення, викладання, оцінювання». У рекомендаціях зафіксовано, що лише шляхом кращого володіння  європейськими мовами можна полегшити спілкування та взаємодію між європейськими країнами з різними  мовами заради підтримки європейської мобільності, взаєморозуміння і співпраці та подолати упередження і дискримінацію. В контексті розвитку міжкультурної співпраці і засобів інтернаціональних зв’язків в усіх напрямках науково-технічного і соціально-культурного життя країн підвищилась орієнтація на міжнародні вимоги до рівня володіння іноземними мовами. [4, </w:t>
      </w:r>
      <w:r w:rsidRPr="00B1222E">
        <w:rPr>
          <w:rFonts w:ascii="Times New Roman" w:eastAsia="Calibri" w:hAnsi="Times New Roman" w:cs="Times New Roman"/>
          <w:sz w:val="28"/>
          <w:szCs w:val="28"/>
          <w:lang w:val="en-US"/>
        </w:rPr>
        <w:t>c</w:t>
      </w:r>
      <w:r w:rsidRPr="00B1222E">
        <w:rPr>
          <w:rFonts w:ascii="Times New Roman" w:eastAsia="Calibri" w:hAnsi="Times New Roman" w:cs="Times New Roman"/>
          <w:sz w:val="28"/>
          <w:szCs w:val="28"/>
        </w:rPr>
        <w:t>. 312-314]</w:t>
      </w:r>
    </w:p>
    <w:p w:rsidR="00B1222E" w:rsidRPr="00B1222E" w:rsidRDefault="00B1222E" w:rsidP="00B1222E">
      <w:pPr>
        <w:spacing w:after="0" w:line="240" w:lineRule="auto"/>
        <w:jc w:val="both"/>
        <w:rPr>
          <w:rFonts w:ascii="Times New Roman" w:eastAsia="Times New Roman" w:hAnsi="Times New Roman" w:cs="Times New Roman"/>
          <w:color w:val="000000"/>
          <w:sz w:val="28"/>
          <w:szCs w:val="28"/>
          <w:lang w:eastAsia="ru-RU"/>
        </w:rPr>
      </w:pPr>
      <w:r w:rsidRPr="00B1222E">
        <w:rPr>
          <w:rFonts w:ascii="Times New Roman" w:eastAsia="Calibri" w:hAnsi="Times New Roman" w:cs="Times New Roman"/>
          <w:sz w:val="28"/>
          <w:szCs w:val="28"/>
        </w:rPr>
        <w:t xml:space="preserve">           В умовах стрімкого розвитку різноманітних міжнародних контактів однією з обов’язкових кваліфікаційних вимог до майбутніх працівників галузі знань </w:t>
      </w:r>
      <w:r w:rsidRPr="00B1222E">
        <w:rPr>
          <w:rFonts w:ascii="Times New Roman" w:eastAsia="Times New Roman" w:hAnsi="Times New Roman" w:cs="Times New Roman"/>
          <w:sz w:val="28"/>
          <w:szCs w:val="28"/>
          <w:lang w:eastAsia="ru-RU"/>
        </w:rPr>
        <w:t xml:space="preserve">здобувачів вищої освіти 24 "Сфера обслуговування" спеціальності 242 "Туризм" </w:t>
      </w:r>
      <w:r w:rsidRPr="00B1222E">
        <w:rPr>
          <w:rFonts w:ascii="Times New Roman" w:eastAsia="Times New Roman" w:hAnsi="Times New Roman" w:cs="Times New Roman"/>
          <w:color w:val="000000"/>
          <w:sz w:val="28"/>
          <w:szCs w:val="28"/>
          <w:lang w:eastAsia="ru-RU"/>
        </w:rPr>
        <w:t xml:space="preserve">предметної спеціальності </w:t>
      </w:r>
      <w:r w:rsidRPr="00B1222E">
        <w:rPr>
          <w:rFonts w:ascii="Times New Roman" w:eastAsia="Times New Roman" w:hAnsi="Times New Roman" w:cs="Times New Roman"/>
          <w:sz w:val="28"/>
          <w:szCs w:val="28"/>
          <w:lang w:eastAsia="ru-RU"/>
        </w:rPr>
        <w:t>242 "Туризм</w:t>
      </w:r>
      <w:r w:rsidRPr="00B1222E">
        <w:rPr>
          <w:rFonts w:ascii="Times New Roman" w:eastAsia="Times New Roman" w:hAnsi="Times New Roman" w:cs="Times New Roman"/>
          <w:color w:val="000000"/>
          <w:sz w:val="28"/>
          <w:szCs w:val="28"/>
          <w:lang w:eastAsia="ru-RU"/>
        </w:rPr>
        <w:t xml:space="preserve">" </w:t>
      </w:r>
      <w:r w:rsidRPr="00B1222E">
        <w:rPr>
          <w:rFonts w:ascii="Times New Roman" w:eastAsia="Calibri" w:hAnsi="Times New Roman" w:cs="Times New Roman"/>
          <w:sz w:val="28"/>
          <w:szCs w:val="28"/>
        </w:rPr>
        <w:t>є вивчення іноземних мов, що триває впродовж усього навчального процесу. Закінчуючи навчання, здобувачі мають вільно володіти іноземними мовами. Саме тому майбутні спеціалісти повинні володіти не лише певними знаннями з фахових дисциплін, а й передавати іншомовному співрозмовникові фахову інформацію, описувати явища, пояснювати факти й наводити аргументи іноземною мовою.</w:t>
      </w:r>
    </w:p>
    <w:p w:rsidR="00B1222E" w:rsidRPr="00B1222E" w:rsidRDefault="00B1222E" w:rsidP="00B1222E">
      <w:pPr>
        <w:spacing w:after="0" w:line="240" w:lineRule="auto"/>
        <w:jc w:val="both"/>
        <w:rPr>
          <w:rFonts w:ascii="Times New Roman" w:eastAsia="Calibri" w:hAnsi="Times New Roman" w:cs="Times New Roman"/>
          <w:sz w:val="28"/>
          <w:szCs w:val="28"/>
        </w:rPr>
      </w:pPr>
      <w:r w:rsidRPr="00B1222E">
        <w:rPr>
          <w:rFonts w:ascii="Calibri" w:eastAsia="Calibri" w:hAnsi="Calibri" w:cs="Times New Roman"/>
        </w:rPr>
        <w:t xml:space="preserve">      </w:t>
      </w:r>
      <w:r w:rsidRPr="00B1222E">
        <w:rPr>
          <w:rFonts w:ascii="Times New Roman" w:eastAsia="Calibri" w:hAnsi="Times New Roman" w:cs="Times New Roman"/>
          <w:sz w:val="28"/>
          <w:szCs w:val="28"/>
        </w:rPr>
        <w:t>Подальший динамічний розвиток туризму та готельної індустрії зумовлює необхідність удосконалення якості підготовки кадрів, забезпечення галузі туризму та готельного господарства фахівцями, які відповідали б міжнародним стандартам.</w:t>
      </w:r>
      <w:r w:rsidRPr="00B1222E">
        <w:rPr>
          <w:rFonts w:ascii="Calibri" w:eastAsia="Calibri" w:hAnsi="Calibri" w:cs="Times New Roman"/>
        </w:rPr>
        <w:t xml:space="preserve"> </w:t>
      </w:r>
      <w:r w:rsidRPr="00B1222E">
        <w:rPr>
          <w:rFonts w:ascii="Times New Roman" w:eastAsia="Calibri" w:hAnsi="Times New Roman" w:cs="Times New Roman"/>
          <w:sz w:val="28"/>
          <w:szCs w:val="28"/>
        </w:rPr>
        <w:t xml:space="preserve">У наш час навчання іноземним мовам стає не просто актуальним, але </w:t>
      </w:r>
      <w:r w:rsidRPr="00B1222E">
        <w:rPr>
          <w:rFonts w:ascii="Times New Roman" w:eastAsia="Calibri" w:hAnsi="Times New Roman" w:cs="Times New Roman"/>
          <w:sz w:val="28"/>
          <w:szCs w:val="28"/>
        </w:rPr>
        <w:lastRenderedPageBreak/>
        <w:t>вкрай необхідним для багатьох фахівців, дає можливість підвищити якість професійної підготовки, стає запорукою подальшого успішного особистісного розвитку на тлі обраної професії. Розуміння важливості цього завдання спонукає викладачів іноземних мов шукати нові підходи до більш якісного навчання мовам не тільки майбутніх лінгвістів, але й представників інших професій, які прагнуть не отримання не тільки теоретичних знань, але й набуття практичних навичок успішного опанування іноземними мовами. Актуальність такого пошуку, передусім, пов’язана з інтенсифікацією методів навчання, спрямованих на формування компетенції іншомовного ділового спілкування у майбутніх фахівців.</w:t>
      </w:r>
    </w:p>
    <w:p w:rsidR="00B1222E" w:rsidRPr="00B1222E" w:rsidRDefault="00B1222E" w:rsidP="00B1222E">
      <w:pPr>
        <w:spacing w:after="0" w:line="240" w:lineRule="auto"/>
        <w:jc w:val="both"/>
        <w:rPr>
          <w:rFonts w:ascii="Times New Roman" w:eastAsia="Calibri" w:hAnsi="Times New Roman" w:cs="Times New Roman"/>
          <w:sz w:val="28"/>
          <w:szCs w:val="28"/>
          <w:lang w:val="ru-RU"/>
        </w:rPr>
      </w:pPr>
      <w:r w:rsidRPr="00B1222E">
        <w:rPr>
          <w:rFonts w:ascii="Times New Roman" w:eastAsia="Calibri" w:hAnsi="Times New Roman" w:cs="Times New Roman"/>
          <w:sz w:val="28"/>
          <w:szCs w:val="28"/>
        </w:rPr>
        <w:t xml:space="preserve">           Здобувачі вищого навчального закладу спеціальності “Туризм”  вивчають як загальновживану, так і професійну лексику, і саме тому викладач залишається в постійному пошуку найефективніших навчальних технологій. Робота над фаховою лексикою розпочинається з ознайомлення з основними характеристиками та особливостями термінів, що за сферою вживання поділяються на загальнонаукові або технічні, галузеві та вузькоспеціалізовані. Детальне вивчення електронних словників і довідників дає змогу не тільки узагальнити найбільш поширені способи перекладу термінів, а й ознайомитися з описовими засобами, що вирішують питання відображення в мові новоутвореного поняття. Вивчення фахової лексики саме за допомогою комп’ютера стає різноманітним та цікавим, а вдосконалення навичок перекладу термінів стає ключовим при виконанні тренувальних вправ.</w:t>
      </w:r>
      <w:r w:rsidRPr="00B1222E">
        <w:rPr>
          <w:rFonts w:ascii="Times New Roman" w:eastAsia="Calibri" w:hAnsi="Times New Roman" w:cs="Times New Roman"/>
          <w:sz w:val="28"/>
          <w:szCs w:val="28"/>
          <w:lang w:val="ru-RU"/>
        </w:rPr>
        <w:t xml:space="preserve"> [1, </w:t>
      </w:r>
      <w:r w:rsidRPr="00B1222E">
        <w:rPr>
          <w:rFonts w:ascii="Times New Roman" w:eastAsia="Calibri" w:hAnsi="Times New Roman" w:cs="Times New Roman"/>
          <w:sz w:val="28"/>
          <w:szCs w:val="28"/>
          <w:lang w:val="en-US"/>
        </w:rPr>
        <w:t>c</w:t>
      </w:r>
      <w:r w:rsidRPr="00B1222E">
        <w:rPr>
          <w:rFonts w:ascii="Times New Roman" w:eastAsia="Calibri" w:hAnsi="Times New Roman" w:cs="Times New Roman"/>
          <w:sz w:val="28"/>
          <w:szCs w:val="28"/>
          <w:lang w:val="ru-RU"/>
        </w:rPr>
        <w:t>. 26]</w:t>
      </w:r>
    </w:p>
    <w:p w:rsidR="00B1222E" w:rsidRPr="00B1222E" w:rsidRDefault="00B1222E" w:rsidP="00B1222E">
      <w:pPr>
        <w:spacing w:after="0" w:line="240" w:lineRule="auto"/>
        <w:jc w:val="both"/>
        <w:rPr>
          <w:rFonts w:ascii="Times New Roman" w:eastAsia="Calibri" w:hAnsi="Times New Roman" w:cs="Times New Roman"/>
          <w:sz w:val="28"/>
          <w:szCs w:val="28"/>
        </w:rPr>
      </w:pPr>
      <w:r w:rsidRPr="00B1222E">
        <w:rPr>
          <w:rFonts w:ascii="Times New Roman" w:eastAsia="Calibri" w:hAnsi="Times New Roman" w:cs="Times New Roman"/>
          <w:sz w:val="28"/>
          <w:szCs w:val="28"/>
        </w:rPr>
        <w:tab/>
        <w:t xml:space="preserve">Важливо надати  студентам необхідний обсяг знань для розуміння носіїв іноземної мови, особливо у сфері професійного спілкування, для активного володіння достатнім лексичним запасом, необхідним як в усному мовленні, так і для ознайомлення із фаховою літературою, досить важко в умовах невеликої кількості годин, наданих для вивчення фахової іноземної мови. При цьому продовжувати традиційно викладати іноземну мову, спираючись лише на ґрунтовне вивчення граматики, читання та переклад фахових текстів, закріплення матеріалу шляхом виконання граматичних та лексичних вправ стає недостатнім. Адже лише письмове сприйняття  та відтворення іноземної мови призводить майже до повної відсутності комунікативних навичок, необхідних для уміння вільно спілкуватись в іншомовному професійному середовищі, брати участь у конференціях, спільних наукових проектах, вміти відстояти свою точку зору під час професійних дискусій тощо. </w:t>
      </w:r>
    </w:p>
    <w:p w:rsidR="00B1222E" w:rsidRPr="00B1222E" w:rsidRDefault="00B1222E" w:rsidP="00B1222E">
      <w:pPr>
        <w:spacing w:after="0" w:line="240" w:lineRule="auto"/>
        <w:jc w:val="both"/>
        <w:rPr>
          <w:rFonts w:ascii="Times New Roman" w:eastAsia="Calibri" w:hAnsi="Times New Roman" w:cs="Times New Roman"/>
          <w:sz w:val="28"/>
          <w:szCs w:val="28"/>
        </w:rPr>
      </w:pPr>
      <w:r w:rsidRPr="00B1222E">
        <w:rPr>
          <w:rFonts w:ascii="Times New Roman" w:eastAsia="Calibri" w:hAnsi="Times New Roman" w:cs="Times New Roman"/>
          <w:sz w:val="28"/>
          <w:szCs w:val="28"/>
        </w:rPr>
        <w:tab/>
        <w:t>Щоб розвинути комунікативні навички у здобувачів треба починати працювати з першокурсниками, широко використовуючи сучасні дидактичні принципи, а саме принцип систематичності та послідовності у викладанні предмету, активного та свідомого сприйняття навчального матеріалу, зв’язку навчання із життєвими реаліями (обов’язкове додавання лінгвокраїнознавчої інформації), принцип наочності навчання (пошук шляхів симуляції заглиблення в іншомовне середовище), принцип поєднання різних форм навчання  залежно від складу та методів навчання, активне використання аудіо- та мультимедійних засобів) тощо.</w:t>
      </w:r>
    </w:p>
    <w:p w:rsidR="00B1222E" w:rsidRPr="00B1222E" w:rsidRDefault="00B1222E" w:rsidP="00B1222E">
      <w:pPr>
        <w:spacing w:after="0" w:line="240" w:lineRule="auto"/>
        <w:jc w:val="both"/>
        <w:rPr>
          <w:rFonts w:ascii="Times New Roman" w:eastAsia="Calibri" w:hAnsi="Times New Roman" w:cs="Times New Roman"/>
          <w:sz w:val="28"/>
          <w:szCs w:val="28"/>
        </w:rPr>
      </w:pPr>
      <w:r w:rsidRPr="00B1222E">
        <w:rPr>
          <w:rFonts w:ascii="Times New Roman" w:eastAsia="Calibri" w:hAnsi="Times New Roman" w:cs="Times New Roman"/>
          <w:sz w:val="28"/>
          <w:szCs w:val="28"/>
        </w:rPr>
        <w:tab/>
        <w:t xml:space="preserve">Практична робота в аудиторії показує, що навіть за умов активної репрезентації викладачем навчального матеріалу певна частина здобувачів залишається пасивною, не усвідомлюючи для себе значення та необхідності </w:t>
      </w:r>
      <w:r w:rsidRPr="00B1222E">
        <w:rPr>
          <w:rFonts w:ascii="Times New Roman" w:eastAsia="Calibri" w:hAnsi="Times New Roman" w:cs="Times New Roman"/>
          <w:sz w:val="28"/>
          <w:szCs w:val="28"/>
        </w:rPr>
        <w:lastRenderedPageBreak/>
        <w:t xml:space="preserve">набуття нових мовленнєвих навичок. Крім цього, у студентів-першокурсників, наприклад, ще відсутнє розуміння змісту спеціальності, тому певні і часто досить серйозні мовні труднощі ускладнюються через необхідність засвоювати професійно спрямовану іноземну мову. </w:t>
      </w:r>
      <w:r w:rsidRPr="00B1222E">
        <w:rPr>
          <w:rFonts w:ascii="Times New Roman" w:eastAsia="TimesNewRomanPSMT" w:hAnsi="Times New Roman" w:cs="Times New Roman"/>
          <w:sz w:val="28"/>
          <w:szCs w:val="28"/>
          <w:lang w:eastAsia="uk-UA"/>
        </w:rPr>
        <w:t xml:space="preserve">Цілком зрозуміло, що без відповідного комунікативно-спрямованого навчального матеріалу за фахом досить важко виробити у здобувачі стійкі навички усної комунікації. </w:t>
      </w:r>
      <w:r w:rsidRPr="00B1222E">
        <w:rPr>
          <w:rFonts w:ascii="Times New Roman" w:eastAsia="Calibri" w:hAnsi="Times New Roman" w:cs="Times New Roman"/>
          <w:sz w:val="28"/>
          <w:szCs w:val="28"/>
        </w:rPr>
        <w:t>Отже, для того, щоб залучити до навчального процесу всіх здобувачів, присутніх в аудиторії, треба, по-перше, чітко диференціювати базовий рівень мовної готовності кожного; міру зацікавленості у засвоєнні фахової лексики; розуміння мовних труднощів, які їм доведеться подолати під час навчання. Потім (за умови більш-менш рівноцінної мовної підготовки здобувачів) можна пропонувати поступове входження в іншомовне професійне середовище з орієнтацією на комунікативний аспект через низку завдань, як  письмових  так і комунікативних.</w:t>
      </w:r>
    </w:p>
    <w:p w:rsidR="00B1222E" w:rsidRPr="00B1222E" w:rsidRDefault="00B1222E" w:rsidP="00B1222E">
      <w:pPr>
        <w:spacing w:after="0" w:line="240" w:lineRule="auto"/>
        <w:jc w:val="both"/>
        <w:rPr>
          <w:rFonts w:ascii="Times New Roman" w:eastAsia="Calibri" w:hAnsi="Times New Roman" w:cs="Times New Roman"/>
          <w:sz w:val="28"/>
          <w:szCs w:val="28"/>
        </w:rPr>
      </w:pPr>
      <w:r w:rsidRPr="00B1222E">
        <w:rPr>
          <w:rFonts w:ascii="Times New Roman" w:eastAsia="Calibri" w:hAnsi="Times New Roman" w:cs="Times New Roman"/>
          <w:sz w:val="28"/>
          <w:szCs w:val="28"/>
        </w:rPr>
        <w:t xml:space="preserve">       Доречно створювати проблемні ситуації, пропонуючи здобувачам висловити своє бачення ситуації з обов’язковим наведенням аргументів із застосуванням поточної фахової лексики, що допомагає в активізації лексичного запасу, засвоєного під час попереднього виконання письмових вправ. Якщо в аудиторії є відповідне технічне обладнання, треба обов’язково залучити мультимедійні засоби навчання, через які можна вже на першому курсі симулювати різні професійні ситуації. </w:t>
      </w:r>
    </w:p>
    <w:p w:rsidR="00B1222E" w:rsidRPr="00B1222E" w:rsidRDefault="00B1222E" w:rsidP="00B1222E">
      <w:pPr>
        <w:spacing w:after="0" w:line="240" w:lineRule="auto"/>
        <w:jc w:val="both"/>
        <w:rPr>
          <w:rFonts w:ascii="Times New Roman" w:eastAsia="TimesNewRomanPSMT" w:hAnsi="Times New Roman" w:cs="Times New Roman"/>
          <w:sz w:val="28"/>
          <w:szCs w:val="28"/>
          <w:lang w:eastAsia="uk-UA"/>
        </w:rPr>
      </w:pPr>
      <w:r w:rsidRPr="00B1222E">
        <w:rPr>
          <w:rFonts w:ascii="Times New Roman" w:eastAsia="Calibri" w:hAnsi="Times New Roman" w:cs="Times New Roman"/>
          <w:sz w:val="28"/>
          <w:szCs w:val="28"/>
        </w:rPr>
        <w:tab/>
        <w:t>На даному етапі бажано, щоб предметний зміст був до певної міри спрощений та зрозумілий навіть здобувачам з доволі слабкою мовною підготовкою.  Ця умова важлива, оскільки внаслідок нерозуміння предмету у них зникає зацікавленість у подальшому навчанні, втрачається час, відведений на удосконалення базових знань з іноземної мови та опанування нового вузькопрофесійного матеріалу. Комунікативна спрямованість навчання вимагає підбору спеціалізованих вправ, в основі яких закладене монологічне та діалогічне мовлення з широким використанням термінологічної лексики. Оскільки усна мова має свою специфіку, треба звертати увагу на правильне використання граматичної бази, але надавати більшу перевагу простим реченням, доповнюючи їх фразеологізмами,  звертаючи особливу увагу на використання прийменників (що є доволі істотною проблемою для іноземців, які вивчають англійську мову). Підготовка до монологічного або діалогічного мовлення відбувається через опрацювання різноманітних лексичних вправ, які укладені на базі поточної фахової лексики та націлені на багаторазове повторення. Так, пропонуються вправи, спрямовані на словотворення нових мовних одиниць (перетворювання дієслова в іменник шляхом додавання суфікса:</w:t>
      </w:r>
      <w:r w:rsidRPr="00B1222E">
        <w:rPr>
          <w:rFonts w:ascii="Times New Roman" w:eastAsia="Calibri" w:hAnsi="Times New Roman" w:cs="Times New Roman"/>
          <w:i/>
          <w:sz w:val="28"/>
          <w:szCs w:val="28"/>
        </w:rPr>
        <w:t xml:space="preserve"> </w:t>
      </w:r>
      <w:r w:rsidRPr="00B1222E">
        <w:rPr>
          <w:rFonts w:ascii="Times New Roman" w:eastAsia="Calibri" w:hAnsi="Times New Roman" w:cs="Times New Roman"/>
          <w:i/>
          <w:sz w:val="28"/>
          <w:szCs w:val="28"/>
          <w:lang w:val="en-US"/>
        </w:rPr>
        <w:t>to</w:t>
      </w:r>
      <w:r w:rsidRPr="00B1222E">
        <w:rPr>
          <w:rFonts w:ascii="Times New Roman" w:eastAsia="Calibri" w:hAnsi="Times New Roman" w:cs="Times New Roman"/>
          <w:i/>
          <w:sz w:val="28"/>
          <w:szCs w:val="28"/>
        </w:rPr>
        <w:t xml:space="preserve"> </w:t>
      </w:r>
      <w:r w:rsidRPr="00B1222E">
        <w:rPr>
          <w:rFonts w:ascii="Times New Roman" w:eastAsia="Calibri" w:hAnsi="Times New Roman" w:cs="Times New Roman"/>
          <w:i/>
          <w:iCs/>
          <w:sz w:val="28"/>
          <w:szCs w:val="28"/>
          <w:lang w:val="en-US"/>
        </w:rPr>
        <w:t>govern</w:t>
      </w:r>
      <w:r w:rsidRPr="00B1222E">
        <w:rPr>
          <w:rFonts w:ascii="Times New Roman" w:eastAsia="Calibri" w:hAnsi="Times New Roman" w:cs="Times New Roman"/>
          <w:i/>
          <w:iCs/>
          <w:sz w:val="28"/>
          <w:szCs w:val="28"/>
        </w:rPr>
        <w:t xml:space="preserve">  - </w:t>
      </w:r>
      <w:r w:rsidRPr="00B1222E">
        <w:rPr>
          <w:rFonts w:ascii="Times New Roman" w:eastAsia="Calibri" w:hAnsi="Times New Roman" w:cs="Times New Roman"/>
          <w:i/>
          <w:iCs/>
          <w:sz w:val="28"/>
          <w:szCs w:val="28"/>
          <w:lang w:val="en-US"/>
        </w:rPr>
        <w:t>government</w:t>
      </w:r>
      <w:r w:rsidRPr="00B1222E">
        <w:rPr>
          <w:rFonts w:ascii="Times New Roman" w:eastAsia="Calibri" w:hAnsi="Times New Roman" w:cs="Times New Roman"/>
          <w:iCs/>
          <w:sz w:val="28"/>
          <w:szCs w:val="28"/>
        </w:rPr>
        <w:t>; прикметника в іменник:</w:t>
      </w:r>
      <w:r w:rsidRPr="00B1222E">
        <w:rPr>
          <w:rFonts w:ascii="Times New Roman" w:eastAsia="Calibri" w:hAnsi="Times New Roman" w:cs="Times New Roman"/>
          <w:i/>
          <w:iCs/>
          <w:sz w:val="28"/>
          <w:szCs w:val="28"/>
        </w:rPr>
        <w:t xml:space="preserve"> </w:t>
      </w:r>
      <w:r w:rsidRPr="00B1222E">
        <w:rPr>
          <w:rFonts w:ascii="Times New Roman" w:eastAsia="Calibri" w:hAnsi="Times New Roman" w:cs="Times New Roman"/>
          <w:i/>
          <w:iCs/>
          <w:sz w:val="28"/>
          <w:szCs w:val="28"/>
          <w:lang w:val="en-US"/>
        </w:rPr>
        <w:t>reliable</w:t>
      </w:r>
      <w:r w:rsidRPr="00B1222E">
        <w:rPr>
          <w:rFonts w:ascii="Times New Roman" w:eastAsia="Calibri" w:hAnsi="Times New Roman" w:cs="Times New Roman"/>
          <w:i/>
          <w:iCs/>
          <w:sz w:val="28"/>
          <w:szCs w:val="28"/>
        </w:rPr>
        <w:t xml:space="preserve">- </w:t>
      </w:r>
      <w:r w:rsidRPr="00B1222E">
        <w:rPr>
          <w:rFonts w:ascii="Times New Roman" w:eastAsia="Calibri" w:hAnsi="Times New Roman" w:cs="Times New Roman"/>
          <w:i/>
          <w:iCs/>
          <w:sz w:val="28"/>
          <w:szCs w:val="28"/>
          <w:lang w:val="en-US"/>
        </w:rPr>
        <w:t>reliability</w:t>
      </w:r>
      <w:r w:rsidRPr="00B1222E">
        <w:rPr>
          <w:rFonts w:ascii="Times New Roman" w:eastAsia="Calibri" w:hAnsi="Times New Roman" w:cs="Times New Roman"/>
          <w:iCs/>
          <w:sz w:val="28"/>
          <w:szCs w:val="28"/>
        </w:rPr>
        <w:t>;іменника в прикметник:</w:t>
      </w:r>
      <w:r w:rsidRPr="00B1222E">
        <w:rPr>
          <w:rFonts w:ascii="Calibri" w:eastAsia="Calibri" w:hAnsi="Calibri" w:cs="Times New Roman"/>
          <w:i/>
          <w:iCs/>
        </w:rPr>
        <w:t xml:space="preserve"> </w:t>
      </w:r>
      <w:r w:rsidRPr="00B1222E">
        <w:rPr>
          <w:rFonts w:ascii="Times New Roman" w:eastAsia="Calibri" w:hAnsi="Times New Roman" w:cs="Times New Roman"/>
          <w:i/>
          <w:iCs/>
          <w:sz w:val="28"/>
          <w:szCs w:val="28"/>
          <w:lang w:val="en-US"/>
        </w:rPr>
        <w:t>assistance</w:t>
      </w:r>
      <w:r w:rsidRPr="00B1222E">
        <w:rPr>
          <w:rFonts w:ascii="Times New Roman" w:eastAsia="Calibri" w:hAnsi="Times New Roman" w:cs="Times New Roman"/>
          <w:i/>
          <w:iCs/>
          <w:sz w:val="28"/>
          <w:szCs w:val="28"/>
        </w:rPr>
        <w:t xml:space="preserve">  – </w:t>
      </w:r>
      <w:r w:rsidRPr="00B1222E">
        <w:rPr>
          <w:rFonts w:ascii="Times New Roman" w:eastAsia="Calibri" w:hAnsi="Times New Roman" w:cs="Times New Roman"/>
          <w:i/>
          <w:iCs/>
          <w:sz w:val="28"/>
          <w:szCs w:val="28"/>
          <w:lang w:val="en-US"/>
        </w:rPr>
        <w:t>assistant</w:t>
      </w:r>
      <w:r w:rsidRPr="00B1222E">
        <w:rPr>
          <w:rFonts w:ascii="Times New Roman" w:eastAsia="Calibri" w:hAnsi="Times New Roman" w:cs="Times New Roman"/>
          <w:i/>
          <w:iCs/>
          <w:sz w:val="28"/>
          <w:szCs w:val="28"/>
        </w:rPr>
        <w:t>;</w:t>
      </w:r>
      <w:r w:rsidRPr="00B1222E">
        <w:rPr>
          <w:rFonts w:ascii="Times New Roman" w:eastAsia="Calibri" w:hAnsi="Times New Roman" w:cs="Times New Roman"/>
          <w:iCs/>
          <w:sz w:val="28"/>
          <w:szCs w:val="28"/>
        </w:rPr>
        <w:t xml:space="preserve">дієслова в прикметник: </w:t>
      </w:r>
      <w:r w:rsidRPr="00B1222E">
        <w:rPr>
          <w:rFonts w:ascii="Times New Roman" w:eastAsia="Calibri" w:hAnsi="Times New Roman" w:cs="Times New Roman"/>
          <w:i/>
          <w:iCs/>
          <w:sz w:val="28"/>
          <w:szCs w:val="28"/>
          <w:lang w:val="en-US"/>
        </w:rPr>
        <w:t>to</w:t>
      </w:r>
      <w:r w:rsidRPr="00B1222E">
        <w:rPr>
          <w:rFonts w:ascii="Times New Roman" w:eastAsia="Calibri" w:hAnsi="Times New Roman" w:cs="Times New Roman"/>
          <w:i/>
          <w:iCs/>
          <w:sz w:val="28"/>
          <w:szCs w:val="28"/>
        </w:rPr>
        <w:t xml:space="preserve"> </w:t>
      </w:r>
      <w:r w:rsidRPr="00B1222E">
        <w:rPr>
          <w:rFonts w:ascii="Times New Roman" w:eastAsia="Calibri" w:hAnsi="Times New Roman" w:cs="Times New Roman"/>
          <w:i/>
          <w:iCs/>
          <w:sz w:val="28"/>
          <w:szCs w:val="28"/>
          <w:lang w:val="en-US"/>
        </w:rPr>
        <w:t>hope</w:t>
      </w:r>
      <w:r w:rsidRPr="00B1222E">
        <w:rPr>
          <w:rFonts w:ascii="Times New Roman" w:eastAsia="Calibri" w:hAnsi="Times New Roman" w:cs="Times New Roman"/>
          <w:i/>
          <w:iCs/>
          <w:sz w:val="28"/>
          <w:szCs w:val="28"/>
        </w:rPr>
        <w:t xml:space="preserve"> - </w:t>
      </w:r>
      <w:r w:rsidRPr="00B1222E">
        <w:rPr>
          <w:rFonts w:ascii="Times New Roman" w:eastAsia="Calibri" w:hAnsi="Times New Roman" w:cs="Times New Roman"/>
          <w:i/>
          <w:iCs/>
          <w:sz w:val="28"/>
          <w:szCs w:val="28"/>
          <w:lang w:val="en-US"/>
        </w:rPr>
        <w:t>hopeless</w:t>
      </w:r>
      <w:r w:rsidRPr="00B1222E">
        <w:rPr>
          <w:rFonts w:ascii="Times New Roman" w:eastAsia="Calibri" w:hAnsi="Times New Roman" w:cs="Times New Roman"/>
          <w:b/>
          <w:i/>
          <w:iCs/>
          <w:sz w:val="28"/>
          <w:szCs w:val="28"/>
        </w:rPr>
        <w:t xml:space="preserve"> </w:t>
      </w:r>
      <w:r w:rsidRPr="00B1222E">
        <w:rPr>
          <w:rFonts w:ascii="Times New Roman" w:eastAsia="Calibri" w:hAnsi="Times New Roman" w:cs="Times New Roman"/>
          <w:iCs/>
          <w:sz w:val="28"/>
          <w:szCs w:val="28"/>
        </w:rPr>
        <w:t>тощо).</w:t>
      </w:r>
      <w:r w:rsidRPr="00B1222E">
        <w:rPr>
          <w:rFonts w:ascii="Calibri" w:eastAsia="Calibri" w:hAnsi="Calibri" w:cs="Times New Roman"/>
          <w:i/>
          <w:iCs/>
        </w:rPr>
        <w:t xml:space="preserve"> </w:t>
      </w:r>
      <w:r w:rsidRPr="00B1222E">
        <w:rPr>
          <w:rFonts w:ascii="Times New Roman" w:eastAsia="Calibri" w:hAnsi="Times New Roman" w:cs="Times New Roman"/>
          <w:iCs/>
          <w:sz w:val="28"/>
          <w:szCs w:val="28"/>
        </w:rPr>
        <w:t xml:space="preserve">Нова термінологія добре закріплюється у процесі пошуку англійських еквівалентів у тексті </w:t>
      </w:r>
      <w:r w:rsidRPr="00B1222E">
        <w:rPr>
          <w:rFonts w:ascii="Times New Roman" w:eastAsia="Calibri" w:hAnsi="Times New Roman" w:cs="Times New Roman"/>
          <w:i/>
          <w:iCs/>
          <w:sz w:val="28"/>
          <w:szCs w:val="28"/>
        </w:rPr>
        <w:t>(</w:t>
      </w:r>
      <w:r w:rsidRPr="00B1222E">
        <w:rPr>
          <w:rFonts w:ascii="Times New Roman" w:eastAsia="Calibri" w:hAnsi="Times New Roman" w:cs="Times New Roman"/>
          <w:bCs/>
          <w:i/>
          <w:sz w:val="28"/>
          <w:szCs w:val="28"/>
          <w:lang w:val="en-GB"/>
        </w:rPr>
        <w:t>Find</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the</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English</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equivalents</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in</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the</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text</w:t>
      </w:r>
      <w:r w:rsidRPr="00B1222E">
        <w:rPr>
          <w:rFonts w:ascii="Times New Roman" w:eastAsia="Calibri" w:hAnsi="Times New Roman" w:cs="Times New Roman"/>
          <w:bCs/>
          <w:i/>
          <w:sz w:val="28"/>
          <w:szCs w:val="28"/>
        </w:rPr>
        <w:t>)</w:t>
      </w:r>
      <w:r w:rsidRPr="00B1222E">
        <w:rPr>
          <w:rFonts w:ascii="Times New Roman" w:eastAsia="Calibri" w:hAnsi="Times New Roman" w:cs="Times New Roman"/>
          <w:i/>
          <w:iCs/>
          <w:sz w:val="28"/>
          <w:szCs w:val="28"/>
        </w:rPr>
        <w:t>,</w:t>
      </w:r>
      <w:r w:rsidRPr="00B1222E">
        <w:rPr>
          <w:rFonts w:ascii="Times New Roman" w:eastAsia="Calibri" w:hAnsi="Times New Roman" w:cs="Times New Roman"/>
          <w:iCs/>
          <w:sz w:val="28"/>
          <w:szCs w:val="28"/>
        </w:rPr>
        <w:t xml:space="preserve"> при об’єднанні двох частин речення у логічну пару (</w:t>
      </w:r>
      <w:r w:rsidRPr="00B1222E">
        <w:rPr>
          <w:rFonts w:ascii="Times New Roman" w:eastAsia="Calibri" w:hAnsi="Times New Roman" w:cs="Times New Roman"/>
          <w:bCs/>
          <w:i/>
          <w:sz w:val="28"/>
          <w:szCs w:val="28"/>
          <w:lang w:val="en-GB"/>
        </w:rPr>
        <w:t>Combine</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two</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parts</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logically</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to</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make</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complete</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sentence</w:t>
      </w:r>
      <w:r w:rsidRPr="00B1222E">
        <w:rPr>
          <w:rFonts w:ascii="Times New Roman" w:eastAsia="Calibri" w:hAnsi="Times New Roman" w:cs="Times New Roman"/>
          <w:bCs/>
          <w:i/>
          <w:sz w:val="28"/>
          <w:szCs w:val="28"/>
          <w:lang w:val="en-US"/>
        </w:rPr>
        <w:t>s</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sz w:val="28"/>
          <w:szCs w:val="28"/>
        </w:rPr>
        <w:t>при доборі відповідного терміна для завершення речення</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Choose</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an</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appropriate</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word</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or</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phrase</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to</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complete</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the</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following</w:t>
      </w:r>
      <w:r w:rsidRPr="00B1222E">
        <w:rPr>
          <w:rFonts w:ascii="Times New Roman" w:eastAsia="Calibri" w:hAnsi="Times New Roman" w:cs="Times New Roman"/>
          <w:bCs/>
          <w:i/>
          <w:sz w:val="28"/>
          <w:szCs w:val="28"/>
        </w:rPr>
        <w:t xml:space="preserve"> </w:t>
      </w:r>
      <w:r w:rsidRPr="00B1222E">
        <w:rPr>
          <w:rFonts w:ascii="Times New Roman" w:eastAsia="Calibri" w:hAnsi="Times New Roman" w:cs="Times New Roman"/>
          <w:bCs/>
          <w:i/>
          <w:sz w:val="28"/>
          <w:szCs w:val="28"/>
          <w:lang w:val="en-GB"/>
        </w:rPr>
        <w:t>sentences</w:t>
      </w:r>
      <w:r w:rsidRPr="00B1222E">
        <w:rPr>
          <w:rFonts w:ascii="Times New Roman" w:eastAsia="Calibri" w:hAnsi="Times New Roman" w:cs="Times New Roman"/>
          <w:bCs/>
          <w:i/>
          <w:sz w:val="28"/>
          <w:szCs w:val="28"/>
        </w:rPr>
        <w:t>).</w:t>
      </w:r>
      <w:r w:rsidRPr="00B1222E">
        <w:rPr>
          <w:rFonts w:ascii="Times New Roman" w:eastAsia="Calibri" w:hAnsi="Times New Roman" w:cs="Times New Roman"/>
          <w:iCs/>
          <w:sz w:val="28"/>
          <w:szCs w:val="28"/>
        </w:rPr>
        <w:t xml:space="preserve"> У</w:t>
      </w:r>
      <w:r w:rsidRPr="00B1222E">
        <w:rPr>
          <w:rFonts w:ascii="Times New Roman" w:eastAsia="Calibri" w:hAnsi="Times New Roman" w:cs="Times New Roman"/>
          <w:i/>
          <w:iCs/>
          <w:sz w:val="28"/>
          <w:szCs w:val="28"/>
        </w:rPr>
        <w:t xml:space="preserve"> </w:t>
      </w:r>
      <w:r w:rsidRPr="00B1222E">
        <w:rPr>
          <w:rFonts w:ascii="Times New Roman" w:eastAsia="Calibri" w:hAnsi="Times New Roman" w:cs="Times New Roman"/>
          <w:sz w:val="28"/>
          <w:szCs w:val="28"/>
        </w:rPr>
        <w:t>процесі відтворення тієї чи іншої мовної одиниці або моделі в незмінному вигляді або  із внесенням своїх доповнень, уточнюючих пояснень</w:t>
      </w:r>
      <w:r w:rsidRPr="00B1222E">
        <w:rPr>
          <w:rFonts w:ascii="TimesNewRomanPSMT" w:eastAsia="TimesNewRomanPSMT" w:hAnsi="Calibri" w:cs="TimesNewRomanPSMT" w:hint="eastAsia"/>
          <w:sz w:val="24"/>
          <w:szCs w:val="24"/>
          <w:lang w:eastAsia="uk-UA"/>
        </w:rPr>
        <w:t xml:space="preserve"> </w:t>
      </w:r>
      <w:r w:rsidRPr="00B1222E">
        <w:rPr>
          <w:rFonts w:ascii="Times New Roman" w:eastAsia="TimesNewRomanPSMT" w:hAnsi="Times New Roman" w:cs="Times New Roman"/>
          <w:sz w:val="28"/>
          <w:szCs w:val="28"/>
          <w:lang w:eastAsia="uk-UA"/>
        </w:rPr>
        <w:t xml:space="preserve">відбувається досить ефективне закріплення матеріалу, що дає можливість перейти до доволі </w:t>
      </w:r>
      <w:r w:rsidRPr="00B1222E">
        <w:rPr>
          <w:rFonts w:ascii="Times New Roman" w:eastAsia="TimesNewRomanPSMT" w:hAnsi="Times New Roman" w:cs="Times New Roman"/>
          <w:sz w:val="28"/>
          <w:szCs w:val="28"/>
          <w:lang w:eastAsia="uk-UA"/>
        </w:rPr>
        <w:lastRenderedPageBreak/>
        <w:t>впевненого монологу (насамперед, переказ фахового тексту із визначенням головної теми та самостійною реструктуризацією змісту текстового матеріалу, що свідчить про його усвідомлене сприйняття).</w:t>
      </w:r>
    </w:p>
    <w:p w:rsidR="00B1222E" w:rsidRPr="00B1222E" w:rsidRDefault="00B1222E" w:rsidP="00B1222E">
      <w:pPr>
        <w:spacing w:after="0" w:line="240" w:lineRule="auto"/>
        <w:jc w:val="center"/>
        <w:rPr>
          <w:rFonts w:ascii="Times New Roman" w:eastAsia="TimesNewRomanPSMT" w:hAnsi="Times New Roman" w:cs="Times New Roman"/>
          <w:b/>
          <w:sz w:val="28"/>
          <w:szCs w:val="28"/>
          <w:lang w:eastAsia="uk-UA"/>
        </w:rPr>
      </w:pPr>
    </w:p>
    <w:p w:rsidR="00B1222E" w:rsidRPr="00B1222E" w:rsidRDefault="00B1222E" w:rsidP="00B1222E">
      <w:pPr>
        <w:spacing w:after="0" w:line="240" w:lineRule="auto"/>
        <w:jc w:val="center"/>
        <w:rPr>
          <w:rFonts w:ascii="Times New Roman" w:eastAsia="TimesNewRomanPSMT" w:hAnsi="Times New Roman" w:cs="Times New Roman"/>
          <w:b/>
          <w:sz w:val="28"/>
          <w:szCs w:val="28"/>
          <w:lang w:eastAsia="uk-UA"/>
        </w:rPr>
      </w:pPr>
    </w:p>
    <w:p w:rsidR="00B1222E" w:rsidRPr="00B1222E" w:rsidRDefault="00B1222E" w:rsidP="00B1222E">
      <w:pPr>
        <w:spacing w:after="0" w:line="240" w:lineRule="auto"/>
        <w:jc w:val="center"/>
        <w:rPr>
          <w:rFonts w:ascii="Times New Roman" w:eastAsia="TimesNewRomanPSMT" w:hAnsi="Times New Roman" w:cs="Times New Roman"/>
          <w:b/>
          <w:sz w:val="28"/>
          <w:szCs w:val="28"/>
          <w:lang w:eastAsia="uk-UA"/>
        </w:rPr>
      </w:pPr>
      <w:r w:rsidRPr="00B1222E">
        <w:rPr>
          <w:rFonts w:ascii="Times New Roman" w:eastAsia="TimesNewRomanPSMT" w:hAnsi="Times New Roman" w:cs="Times New Roman"/>
          <w:b/>
          <w:sz w:val="28"/>
          <w:szCs w:val="28"/>
          <w:lang w:eastAsia="uk-UA"/>
        </w:rPr>
        <w:t>ЛІТЕРАТУРА</w:t>
      </w:r>
    </w:p>
    <w:p w:rsidR="00B1222E" w:rsidRPr="00B1222E" w:rsidRDefault="00B1222E" w:rsidP="00B1222E">
      <w:pPr>
        <w:spacing w:after="0" w:line="240" w:lineRule="auto"/>
        <w:jc w:val="both"/>
        <w:rPr>
          <w:rFonts w:ascii="Times New Roman" w:eastAsia="TimesNewRomanPSMT" w:hAnsi="Times New Roman" w:cs="Times New Roman"/>
          <w:sz w:val="28"/>
          <w:szCs w:val="28"/>
          <w:lang w:eastAsia="uk-UA"/>
        </w:rPr>
      </w:pPr>
      <w:r w:rsidRPr="00B1222E">
        <w:rPr>
          <w:rFonts w:ascii="Times New Roman" w:eastAsia="Calibri" w:hAnsi="Times New Roman" w:cs="Times New Roman"/>
          <w:sz w:val="28"/>
          <w:szCs w:val="28"/>
        </w:rPr>
        <w:t>1. Вороніна Г. Р. Ефективні технології вивчення іноземної мови професійного спрямування / Г. Р. Вороніна // Інноваційні методи викладання іноземних мов у немовних вищих навчальних закладах : матеріали ІІ Всеукраїнської науково-практичної конференції, 16 травня 2016 р. – Київ : НУХТ, 2016. – 69 с.</w:t>
      </w:r>
    </w:p>
    <w:p w:rsidR="00B1222E" w:rsidRPr="00B1222E" w:rsidRDefault="00B1222E" w:rsidP="00B1222E">
      <w:pPr>
        <w:spacing w:after="0" w:line="240" w:lineRule="auto"/>
        <w:jc w:val="both"/>
        <w:rPr>
          <w:rFonts w:ascii="Times New Roman" w:eastAsia="TimesNewRomanPSMT" w:hAnsi="Times New Roman" w:cs="Times New Roman"/>
          <w:sz w:val="28"/>
          <w:szCs w:val="28"/>
          <w:lang w:eastAsia="uk-UA"/>
        </w:rPr>
      </w:pPr>
      <w:r w:rsidRPr="00B1222E">
        <w:rPr>
          <w:rFonts w:ascii="Times New Roman" w:eastAsia="Calibri" w:hAnsi="Times New Roman" w:cs="Times New Roman"/>
          <w:sz w:val="28"/>
          <w:szCs w:val="28"/>
          <w:lang w:val="ru-RU"/>
        </w:rPr>
        <w:t xml:space="preserve">2. </w:t>
      </w:r>
      <w:r w:rsidRPr="00B1222E">
        <w:rPr>
          <w:rFonts w:ascii="Times New Roman" w:eastAsia="Calibri" w:hAnsi="Times New Roman" w:cs="Times New Roman"/>
          <w:sz w:val="28"/>
          <w:szCs w:val="28"/>
        </w:rPr>
        <w:t xml:space="preserve">Пассов Е. И. Коммуникативный метод обучения иноязычному говорению / Е. И. Пассов – </w:t>
      </w:r>
      <w:proofErr w:type="gramStart"/>
      <w:r w:rsidRPr="00B1222E">
        <w:rPr>
          <w:rFonts w:ascii="Times New Roman" w:eastAsia="Calibri" w:hAnsi="Times New Roman" w:cs="Times New Roman"/>
          <w:sz w:val="28"/>
          <w:szCs w:val="28"/>
        </w:rPr>
        <w:t>М. :</w:t>
      </w:r>
      <w:proofErr w:type="gramEnd"/>
      <w:r w:rsidRPr="00B1222E">
        <w:rPr>
          <w:rFonts w:ascii="Times New Roman" w:eastAsia="Calibri" w:hAnsi="Times New Roman" w:cs="Times New Roman"/>
          <w:sz w:val="28"/>
          <w:szCs w:val="28"/>
        </w:rPr>
        <w:t xml:space="preserve"> Просвещение, 1985. – 298 с.</w:t>
      </w:r>
    </w:p>
    <w:p w:rsidR="00B1222E" w:rsidRPr="00B1222E" w:rsidRDefault="00B1222E" w:rsidP="00B1222E">
      <w:pPr>
        <w:spacing w:after="0" w:line="240" w:lineRule="auto"/>
        <w:jc w:val="both"/>
        <w:rPr>
          <w:rFonts w:ascii="Times New Roman" w:eastAsia="Calibri" w:hAnsi="Times New Roman" w:cs="Times New Roman"/>
          <w:sz w:val="28"/>
          <w:szCs w:val="28"/>
        </w:rPr>
      </w:pPr>
      <w:r w:rsidRPr="00B1222E">
        <w:rPr>
          <w:rFonts w:ascii="Times New Roman" w:eastAsia="TimesNewRomanPSMT" w:hAnsi="Times New Roman" w:cs="Times New Roman"/>
          <w:sz w:val="28"/>
          <w:szCs w:val="28"/>
          <w:lang w:eastAsia="uk-UA"/>
        </w:rPr>
        <w:t>3.</w:t>
      </w:r>
      <w:r w:rsidRPr="00B1222E">
        <w:rPr>
          <w:rFonts w:ascii="Times New Roman" w:eastAsia="Calibri" w:hAnsi="Times New Roman" w:cs="Times New Roman"/>
          <w:sz w:val="28"/>
          <w:szCs w:val="28"/>
        </w:rPr>
        <w:t xml:space="preserve">Тряпицына А.Г. Компетентностный подход в высшем профессиональном образовании /А.Г. Тряпицына. – СПб.: Изд-во РГПУ им. Герцена, 2005. </w:t>
      </w:r>
    </w:p>
    <w:p w:rsidR="00B1222E" w:rsidRPr="00B1222E" w:rsidRDefault="00B1222E" w:rsidP="00B1222E">
      <w:pPr>
        <w:spacing w:after="0" w:line="240" w:lineRule="auto"/>
        <w:jc w:val="both"/>
        <w:rPr>
          <w:rFonts w:ascii="Times New Roman" w:eastAsia="Calibri" w:hAnsi="Times New Roman" w:cs="Times New Roman"/>
          <w:sz w:val="28"/>
          <w:szCs w:val="28"/>
        </w:rPr>
      </w:pPr>
      <w:r w:rsidRPr="00B1222E">
        <w:rPr>
          <w:rFonts w:ascii="Times New Roman" w:eastAsia="Calibri" w:hAnsi="Times New Roman" w:cs="Times New Roman"/>
          <w:sz w:val="28"/>
          <w:szCs w:val="28"/>
        </w:rPr>
        <w:t>4. Ружин К. М. Специфіка вивчення другої іноземної мови у вищій школі / К. М. Ружин, О. А. Каніболоцька // Наукові записки Національного університету “Острозька академія”. – Серія “Філологічна”. – Вип. 48. – С. 312–314.</w:t>
      </w:r>
    </w:p>
    <w:p w:rsidR="00B1222E" w:rsidRPr="00B1222E" w:rsidRDefault="00B1222E" w:rsidP="00B1222E">
      <w:pPr>
        <w:spacing w:after="0" w:line="240" w:lineRule="auto"/>
        <w:jc w:val="both"/>
        <w:rPr>
          <w:rFonts w:ascii="Times New Roman" w:eastAsia="Calibri" w:hAnsi="Times New Roman" w:cs="Times New Roman"/>
          <w:sz w:val="28"/>
          <w:szCs w:val="28"/>
        </w:rPr>
      </w:pPr>
      <w:r w:rsidRPr="00B1222E">
        <w:rPr>
          <w:rFonts w:ascii="Times New Roman" w:eastAsia="Calibri" w:hAnsi="Times New Roman" w:cs="Times New Roman"/>
          <w:sz w:val="28"/>
          <w:szCs w:val="28"/>
        </w:rPr>
        <w:t>5.Хуторской А.В. Современная дидактика / А.В. Хуторской. – СПб.: Питер, 2001. – С.123-135.</w:t>
      </w:r>
    </w:p>
    <w:p w:rsidR="00B1222E" w:rsidRPr="00B1222E" w:rsidRDefault="00B1222E" w:rsidP="00B1222E">
      <w:pPr>
        <w:spacing w:after="0" w:line="240" w:lineRule="auto"/>
        <w:jc w:val="both"/>
        <w:rPr>
          <w:rFonts w:ascii="Times New Roman" w:eastAsia="Calibri" w:hAnsi="Times New Roman" w:cs="Times New Roman"/>
          <w:sz w:val="28"/>
          <w:szCs w:val="28"/>
        </w:rPr>
      </w:pPr>
      <w:r w:rsidRPr="00B1222E">
        <w:rPr>
          <w:rFonts w:ascii="Times New Roman" w:eastAsia="TimesNewRomanPSMT" w:hAnsi="Times New Roman" w:cs="Times New Roman"/>
          <w:sz w:val="28"/>
          <w:szCs w:val="28"/>
          <w:lang w:eastAsia="uk-UA"/>
        </w:rPr>
        <w:t>6.</w:t>
      </w:r>
      <w:r w:rsidRPr="00B1222E">
        <w:rPr>
          <w:rFonts w:ascii="Times New Roman" w:eastAsia="Calibri" w:hAnsi="Times New Roman" w:cs="Times New Roman"/>
          <w:sz w:val="28"/>
          <w:szCs w:val="28"/>
        </w:rPr>
        <w:t xml:space="preserve">Чернилевский Д.В. Дидактические технологии в высшей школе / Д.В. Чернилевский. – М: Академия, 2001. – 272 с. </w:t>
      </w:r>
    </w:p>
    <w:p w:rsidR="00B1222E" w:rsidRPr="00B1222E" w:rsidRDefault="00B1222E" w:rsidP="00B1222E">
      <w:pPr>
        <w:jc w:val="both"/>
        <w:rPr>
          <w:rFonts w:ascii="Times New Roman" w:hAnsi="Times New Roman" w:cs="Times New Roman"/>
          <w:sz w:val="28"/>
          <w:szCs w:val="28"/>
        </w:rPr>
      </w:pPr>
      <w:bookmarkStart w:id="0" w:name="_GoBack"/>
      <w:bookmarkEnd w:id="0"/>
    </w:p>
    <w:sectPr w:rsidR="00B1222E" w:rsidRPr="00B122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F3"/>
    <w:rsid w:val="005146F3"/>
    <w:rsid w:val="005A363E"/>
    <w:rsid w:val="00B12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0377"/>
  <w15:chartTrackingRefBased/>
  <w15:docId w15:val="{A27918EF-B48C-40C6-8DF4-20EE51B1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ktoriyamd12@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7906</Words>
  <Characters>4507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cp:revision>
  <dcterms:created xsi:type="dcterms:W3CDTF">2021-11-12T08:11:00Z</dcterms:created>
  <dcterms:modified xsi:type="dcterms:W3CDTF">2021-11-12T08:14:00Z</dcterms:modified>
</cp:coreProperties>
</file>