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AA" w:rsidRPr="0052466A" w:rsidRDefault="004039AA" w:rsidP="00524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466A">
        <w:rPr>
          <w:rFonts w:ascii="Times New Roman" w:hAnsi="Times New Roman" w:cs="Times New Roman"/>
          <w:sz w:val="24"/>
          <w:szCs w:val="24"/>
        </w:rPr>
        <w:t>Рошко С. М. Порівняльна характеристика еколого-економічної політики регіонів України в умовах регіонального природокористування / С.М. Рошко, М.О. Гордейчук, Б.І. Дяченко // Проблеми сталого розвитку економіки України в умовах інтеграційних процесів: Матеріали доповідей міжнародної науково-практичної конференції (м. Ужгород, 5-6 грудня 2014 р.). У 2-х частинах. - Херсон: Видавничий дім «Гельветика», 2014. - Ч.2. – С. 26– 29.</w:t>
      </w:r>
    </w:p>
    <w:p w:rsidR="004039AA" w:rsidRPr="0052466A" w:rsidRDefault="004039AA" w:rsidP="00626A17">
      <w:pPr>
        <w:pStyle w:val="Heading1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039AA" w:rsidRDefault="004039AA" w:rsidP="00626A17">
      <w:pPr>
        <w:pStyle w:val="Heading1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Секція: Економіка природокористування і охорони навколишнього середовища</w:t>
      </w:r>
    </w:p>
    <w:p w:rsidR="004039AA" w:rsidRPr="00C64683" w:rsidRDefault="004039AA" w:rsidP="00626A17">
      <w:pPr>
        <w:spacing w:after="0" w:line="240" w:lineRule="auto"/>
        <w:rPr>
          <w:lang w:eastAsia="ru-RU"/>
        </w:rPr>
      </w:pPr>
    </w:p>
    <w:p w:rsidR="004039AA" w:rsidRDefault="004039AA" w:rsidP="0062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Порівняльна характеристика еколого-економічної політики регіонів України</w:t>
      </w:r>
      <w:r w:rsidRPr="009927FC">
        <w:rPr>
          <w:rFonts w:ascii="Times New Roman" w:hAnsi="Times New Roman" w:cs="Times New Roman"/>
          <w:b/>
          <w:bCs/>
          <w:sz w:val="28"/>
          <w:szCs w:val="28"/>
        </w:rPr>
        <w:t xml:space="preserve"> в умовах регіонального природокористування</w:t>
      </w:r>
    </w:p>
    <w:p w:rsidR="004039AA" w:rsidRPr="009927FC" w:rsidRDefault="004039AA" w:rsidP="0062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39AA" w:rsidRPr="00C64683" w:rsidRDefault="004039AA" w:rsidP="0062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6468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Дяченко Борис Іванович</w:t>
      </w:r>
    </w:p>
    <w:p w:rsidR="004039AA" w:rsidRDefault="004039AA" w:rsidP="00626A17">
      <w:pPr>
        <w:pStyle w:val="Heading1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>к</w:t>
      </w:r>
      <w:r w:rsidRPr="00C64683">
        <w:rPr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.е.н., доцент кафедри </w:t>
      </w:r>
      <w:r w:rsidRPr="00C64683">
        <w:rPr>
          <w:rFonts w:ascii="Times New Roman" w:hAnsi="Times New Roman" w:cs="Times New Roman"/>
          <w:b w:val="0"/>
          <w:bCs w:val="0"/>
          <w:i w:val="0"/>
          <w:iCs w:val="0"/>
        </w:rPr>
        <w:t>міжнародних економічних відносин ДВНЗ «Ужгородський національний університет»</w:t>
      </w:r>
    </w:p>
    <w:p w:rsidR="004039AA" w:rsidRPr="00C64683" w:rsidRDefault="004039AA" w:rsidP="00626A17">
      <w:pPr>
        <w:spacing w:after="0" w:line="240" w:lineRule="auto"/>
        <w:rPr>
          <w:lang w:eastAsia="ru-RU"/>
        </w:rPr>
      </w:pPr>
    </w:p>
    <w:p w:rsidR="004039AA" w:rsidRPr="0052466A" w:rsidRDefault="004039AA" w:rsidP="00626A17">
      <w:pPr>
        <w:pStyle w:val="Heading1"/>
        <w:jc w:val="center"/>
        <w:rPr>
          <w:rFonts w:ascii="Times New Roman" w:hAnsi="Times New Roman" w:cs="Times New Roman"/>
          <w:i w:val="0"/>
          <w:iCs w:val="0"/>
        </w:rPr>
      </w:pPr>
      <w:r w:rsidRPr="00C64683">
        <w:rPr>
          <w:rFonts w:ascii="Times New Roman" w:hAnsi="Times New Roman" w:cs="Times New Roman"/>
          <w:i w:val="0"/>
          <w:iCs w:val="0"/>
        </w:rPr>
        <w:t>Рошко Світлана Михайлівна</w:t>
      </w:r>
    </w:p>
    <w:p w:rsidR="004039AA" w:rsidRDefault="004039AA" w:rsidP="00626A17">
      <w:pPr>
        <w:pStyle w:val="Heading1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к. філол. н., </w:t>
      </w:r>
      <w:r w:rsidRPr="007F7710">
        <w:rPr>
          <w:rFonts w:ascii="Times New Roman" w:hAnsi="Times New Roman" w:cs="Times New Roman"/>
          <w:b w:val="0"/>
          <w:bCs w:val="0"/>
          <w:i w:val="0"/>
          <w:iCs w:val="0"/>
        </w:rPr>
        <w:t>доц. кафедри міжнародних економічних відносин ДВНЗ «Ужгородський національний університет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4039AA" w:rsidRPr="00C64683" w:rsidRDefault="004039AA" w:rsidP="00626A17">
      <w:pPr>
        <w:spacing w:after="0" w:line="240" w:lineRule="auto"/>
        <w:rPr>
          <w:lang w:eastAsia="ru-RU"/>
        </w:rPr>
      </w:pPr>
    </w:p>
    <w:p w:rsidR="004039AA" w:rsidRPr="00C64683" w:rsidRDefault="004039AA" w:rsidP="00626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683">
        <w:rPr>
          <w:rFonts w:ascii="Times New Roman" w:hAnsi="Times New Roman" w:cs="Times New Roman"/>
          <w:b/>
          <w:bCs/>
          <w:sz w:val="28"/>
          <w:szCs w:val="28"/>
        </w:rPr>
        <w:t>Гордейчук Михайло Олександрович</w:t>
      </w:r>
    </w:p>
    <w:p w:rsidR="004039AA" w:rsidRDefault="004039AA" w:rsidP="00626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здобувач кафедри економіки підприємства економічного факультету Ужгородського національного університету ДВНЗ «Ужгород</w:t>
      </w:r>
      <w:r>
        <w:rPr>
          <w:rFonts w:ascii="Times New Roman" w:hAnsi="Times New Roman" w:cs="Times New Roman"/>
          <w:sz w:val="28"/>
          <w:szCs w:val="28"/>
        </w:rPr>
        <w:t>ський національний університет»</w:t>
      </w:r>
    </w:p>
    <w:p w:rsidR="004039AA" w:rsidRDefault="004039AA" w:rsidP="00C64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9AA" w:rsidRPr="00A32197" w:rsidRDefault="004039AA" w:rsidP="0073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 xml:space="preserve">Регіональне природокористування як цілісна система взаємовідносин територіально-господарського комплексу продуктивних сил суспільства і природного потенціалу його існування, що розвиваються на основі принципів раціонального природокористування та управління природно-господарською збалансованістю, єдності соціально-економічних демографічних і природних процесів, створює умови для реалізації та використання природних ресурсів як країни, так і її регіонів. Порушення екологічних зв’язків у природі невіддільне від специфіки регіонального соціально-економічного розвитку, історичних традицій формування галузей, наявності природних ресурсів, політики розвитку й територіального розміщення різних галузей виробництва. </w:t>
      </w:r>
    </w:p>
    <w:p w:rsidR="004039AA" w:rsidRPr="00A32197" w:rsidRDefault="004039AA" w:rsidP="0073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 xml:space="preserve">Суть і зміст регіональної екологічної політики у природокористуванні охоплюють два її зрізи: перший – екологічна політика держави щодо регіонів (державна регіональна екологічна політика), другий – екологічна політика здійснювана відповідними органами самих регіонів [1, с.166]. Першу реалізують органи центральної влади, другу – місцеві органи державної влади і самоврядування. Враховуючи, що будь-яка політика покликана обслуговувати певні інтереси, державна політика у сфері екологічної безпеки має забезпечити реалізацію державних регіональних екологічних інтересів і створювати умови для реалізації місцевих екологічних інтересів силами регіонів. Ключова роль у цьому процесі належить законодавчому закріпленню прав і повноважень різних гілок влади, відсутність якого призводить до конфліктів між ними, знижуючи ефективність екологічної політики. Необхідність регіоналізації екологічної політики, як вважає Васюта С., зумовлена екологічною різноманітністю території України, особливостями соціально-економічних процесів у регіонах, які в історичному, природному, соціальному, економічному аспектах є неоднорідними, оскільки під дією цих факторів відбувалося господарське освоєння територій, сформувалися різні типи виробничих систем і комплексів, кожен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32197">
        <w:rPr>
          <w:rFonts w:ascii="Times New Roman" w:hAnsi="Times New Roman" w:cs="Times New Roman"/>
          <w:sz w:val="28"/>
          <w:szCs w:val="28"/>
        </w:rPr>
        <w:t>з яких характеризується специфічними видами та масштабами впливу на довкілля [1, с.166]. З огляду на 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197">
        <w:rPr>
          <w:rFonts w:ascii="Times New Roman" w:hAnsi="Times New Roman" w:cs="Times New Roman"/>
          <w:sz w:val="28"/>
          <w:szCs w:val="28"/>
        </w:rPr>
        <w:t xml:space="preserve"> екологічна ситуація в Україні, як констатує цитований науковець, має свої територіальні відмінності як за характером та гостротою проблем, так і щодо можливостей їх практичного розв’язання, а тому існує об’єктивна необхідність регіональної диференціації управлінських рішень та практичних дій, спрямованих на стабілізацію і поліпшення екологічної ситуації. </w:t>
      </w:r>
    </w:p>
    <w:p w:rsidR="004039AA" w:rsidRPr="00A32197" w:rsidRDefault="004039AA" w:rsidP="0073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На доцільності регіонального та міжрегіонального (залежно від умов поширення забруднень) регулювання витрат наголошувалося на Всесвітній конференції ООН з навколишнього середовища та розвитку (Ріо-де-Жанейро), оскільки скорочуючи викиди, наприклад в атмосферу, підприємство потенційно може збільшити викиди шкідливих речовин у водойми чи ґрунти.  У той же час спалювання відходів сприяє зменшенню забруднення ґрунту за рахунок збільшення викидів в атмосферу, а їх поховання призводить до зворотної ситуації – зменшення забруднення атмосфери за одночасного збільшення твердих відходів. Для забезпечення екологічно сприятливого стійкого соціально-економічного розвитку регіонів необхідна співпраця держави, ділових кіл і широких верс</w:t>
      </w:r>
      <w:r>
        <w:rPr>
          <w:rFonts w:ascii="Times New Roman" w:hAnsi="Times New Roman" w:cs="Times New Roman"/>
          <w:sz w:val="28"/>
          <w:szCs w:val="28"/>
        </w:rPr>
        <w:t xml:space="preserve">тв населення. У зв’язку з цим,  </w:t>
      </w:r>
      <w:r w:rsidRPr="00A32197">
        <w:rPr>
          <w:rFonts w:ascii="Times New Roman" w:hAnsi="Times New Roman" w:cs="Times New Roman"/>
          <w:sz w:val="28"/>
          <w:szCs w:val="28"/>
        </w:rPr>
        <w:t xml:space="preserve">необхідно забезпечити скорочення викидів насамперед на  </w:t>
      </w:r>
      <w:r>
        <w:rPr>
          <w:rFonts w:ascii="Times New Roman" w:hAnsi="Times New Roman" w:cs="Times New Roman"/>
          <w:sz w:val="28"/>
          <w:szCs w:val="28"/>
        </w:rPr>
        <w:t>підприємствах, де спостерігається</w:t>
      </w:r>
      <w:r w:rsidRPr="00A32197">
        <w:rPr>
          <w:rFonts w:ascii="Times New Roman" w:hAnsi="Times New Roman" w:cs="Times New Roman"/>
          <w:sz w:val="28"/>
          <w:szCs w:val="28"/>
        </w:rPr>
        <w:t xml:space="preserve"> перевищення заданого допустимого рівня емісій забруднень у довкілля регіонів. Водночас, як засвідчують наші дослідження,  масштаби викидів забруднюючих речовин в атмосферу в розрізі регіонів України мають зростаючу тенденцію (табл. 1.)</w:t>
      </w:r>
    </w:p>
    <w:p w:rsidR="004039AA" w:rsidRPr="006A3E85" w:rsidRDefault="004039AA" w:rsidP="00730030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A3E85">
        <w:rPr>
          <w:rFonts w:ascii="Times New Roman" w:hAnsi="Times New Roman" w:cs="Times New Roman"/>
          <w:i/>
          <w:iCs/>
          <w:sz w:val="28"/>
          <w:szCs w:val="28"/>
        </w:rPr>
        <w:t>Таблиця 1.</w:t>
      </w:r>
    </w:p>
    <w:p w:rsidR="004039AA" w:rsidRPr="006A3E85" w:rsidRDefault="004039AA" w:rsidP="00730030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A3E85">
        <w:rPr>
          <w:rFonts w:ascii="Times New Roman" w:hAnsi="Times New Roman" w:cs="Times New Roman"/>
          <w:sz w:val="28"/>
          <w:szCs w:val="28"/>
        </w:rPr>
        <w:t>Викиди</w:t>
      </w:r>
      <w:r w:rsidRPr="00A32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3E85">
        <w:rPr>
          <w:rFonts w:ascii="Times New Roman" w:hAnsi="Times New Roman" w:cs="Times New Roman"/>
          <w:sz w:val="28"/>
          <w:szCs w:val="28"/>
        </w:rPr>
        <w:t>забруднюючих речовин в атмосферне повітря за регіонами ٭</w:t>
      </w:r>
    </w:p>
    <w:tbl>
      <w:tblPr>
        <w:tblW w:w="95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5"/>
        <w:gridCol w:w="707"/>
        <w:gridCol w:w="708"/>
        <w:gridCol w:w="709"/>
        <w:gridCol w:w="709"/>
        <w:gridCol w:w="574"/>
        <w:gridCol w:w="568"/>
        <w:gridCol w:w="708"/>
        <w:gridCol w:w="709"/>
        <w:gridCol w:w="669"/>
        <w:gridCol w:w="616"/>
        <w:gridCol w:w="616"/>
        <w:gridCol w:w="617"/>
      </w:tblGrid>
      <w:tr w:rsidR="004039AA" w:rsidRPr="00A32197">
        <w:trPr>
          <w:trHeight w:val="491"/>
        </w:trPr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 xml:space="preserve">Регіони </w:t>
            </w:r>
          </w:p>
        </w:tc>
        <w:tc>
          <w:tcPr>
            <w:tcW w:w="2833" w:type="dxa"/>
            <w:gridSpan w:val="4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>Усього тис. т</w:t>
            </w:r>
          </w:p>
        </w:tc>
        <w:tc>
          <w:tcPr>
            <w:tcW w:w="1142" w:type="dxa"/>
            <w:gridSpan w:val="2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>2012, % до</w:t>
            </w: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4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>У розрахунку на км</w:t>
            </w:r>
            <w:r w:rsidRPr="00A321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233" w:type="dxa"/>
            <w:gridSpan w:val="2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 xml:space="preserve">2012, % до 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321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A3219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039AA" w:rsidRPr="00A32197">
        <w:tc>
          <w:tcPr>
            <w:tcW w:w="1665" w:type="dxa"/>
          </w:tcPr>
          <w:p w:rsidR="004039AA" w:rsidRPr="006A3E85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Україна 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5908,6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6678,0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6877,3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6821,1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039AA" w:rsidRPr="00A32197">
        <w:trPr>
          <w:trHeight w:val="470"/>
        </w:trPr>
        <w:tc>
          <w:tcPr>
            <w:tcW w:w="1665" w:type="dxa"/>
          </w:tcPr>
          <w:p w:rsidR="004039AA" w:rsidRPr="006A3E85" w:rsidRDefault="004039AA" w:rsidP="00730030">
            <w:pPr>
              <w:spacing w:after="0" w:line="360" w:lineRule="auto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області </w:t>
            </w:r>
          </w:p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 xml:space="preserve">Волинська 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ind w:left="-142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939,5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1157,9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1173,1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834,9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 xml:space="preserve">Донецька 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1795,3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1589,9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1729,3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1714,7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Закарпатська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341,2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Івано-Франків.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278,7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308,1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Кіровоградська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529,2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599,2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553,5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529,5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256,6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253,9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113.5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169,0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181.3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Сумська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268.6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319,4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70.0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Черкаська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146,4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4039AA" w:rsidRPr="00A32197"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4039AA" w:rsidRPr="00A32197">
        <w:trPr>
          <w:trHeight w:val="285"/>
        </w:trPr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97"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4039AA" w:rsidRPr="00A32197">
        <w:trPr>
          <w:trHeight w:val="172"/>
        </w:trPr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міста</w:t>
            </w:r>
          </w:p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170.4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331,6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05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4039AA" w:rsidRPr="00A32197">
        <w:trPr>
          <w:trHeight w:val="273"/>
        </w:trPr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 xml:space="preserve">Севастополь 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4039AA" w:rsidRPr="00A32197">
        <w:trPr>
          <w:trHeight w:val="418"/>
        </w:trPr>
        <w:tc>
          <w:tcPr>
            <w:tcW w:w="1665" w:type="dxa"/>
          </w:tcPr>
          <w:p w:rsidR="004039AA" w:rsidRPr="00A32197" w:rsidRDefault="004039AA" w:rsidP="00730030">
            <w:pPr>
              <w:spacing w:after="0" w:line="36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довідково:</w:t>
            </w: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 xml:space="preserve"> АРК</w:t>
            </w:r>
          </w:p>
        </w:tc>
        <w:tc>
          <w:tcPr>
            <w:tcW w:w="707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574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56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11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708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69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16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617" w:type="dxa"/>
          </w:tcPr>
          <w:p w:rsidR="004039AA" w:rsidRPr="00A32197" w:rsidRDefault="004039AA" w:rsidP="007300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AA" w:rsidRPr="00A32197" w:rsidRDefault="004039AA" w:rsidP="00730030">
            <w:pPr>
              <w:spacing w:after="0" w:line="360" w:lineRule="auto"/>
              <w:ind w:left="-27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97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</w:tbl>
    <w:p w:rsidR="004039AA" w:rsidRPr="00A32197" w:rsidRDefault="004039AA" w:rsidP="006A3E8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32197">
        <w:rPr>
          <w:rFonts w:ascii="Times New Roman" w:hAnsi="Times New Roman" w:cs="Times New Roman"/>
          <w:sz w:val="24"/>
          <w:szCs w:val="24"/>
        </w:rPr>
        <w:t>Розраховано на основі джерела [6, с. 502]</w:t>
      </w:r>
    </w:p>
    <w:p w:rsidR="004039AA" w:rsidRPr="00A32197" w:rsidRDefault="004039AA" w:rsidP="006A3E85">
      <w:pPr>
        <w:pStyle w:val="ListParagraph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32197">
        <w:rPr>
          <w:rFonts w:ascii="Times New Roman" w:hAnsi="Times New Roman" w:cs="Times New Roman"/>
          <w:sz w:val="24"/>
          <w:szCs w:val="24"/>
        </w:rPr>
        <w:t xml:space="preserve"> 2000 р. наводяться дані щодо викидів забруднюючих речовин від стаціонарних джерел забруднення та автотранспорту, а з 2010 р. включені дані щодо викидів від залізничного, авіаційного, водного транспорту  та від виробничої техніки.</w:t>
      </w:r>
    </w:p>
    <w:p w:rsidR="004039AA" w:rsidRPr="006A3E85" w:rsidRDefault="004039AA" w:rsidP="006A3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9AA" w:rsidRPr="00A32197" w:rsidRDefault="004039AA" w:rsidP="0073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Аналіз наведеної табл. 1 засвідчує, що, по-перше, обсяги викиду забруднюючих речовин мають тенденцію до збільшення у м. Київ, Київській області, Дніпропетровській, Харківській, Черкаській областях. По-друге, щодо викидів забруднюючих речовин в атмосферне повітря у розрахунку в т на 1 км</w:t>
      </w:r>
      <w:r w:rsidRPr="00A32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2197">
        <w:rPr>
          <w:rFonts w:ascii="Times New Roman" w:hAnsi="Times New Roman" w:cs="Times New Roman"/>
          <w:sz w:val="28"/>
          <w:szCs w:val="28"/>
        </w:rPr>
        <w:t>, еколого небезпечними територіями є м. Київ (у 2012 р. тут на 1 км</w:t>
      </w:r>
      <w:r w:rsidRPr="00A32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2197">
        <w:rPr>
          <w:rFonts w:ascii="Times New Roman" w:hAnsi="Times New Roman" w:cs="Times New Roman"/>
          <w:sz w:val="28"/>
          <w:szCs w:val="28"/>
        </w:rPr>
        <w:t xml:space="preserve"> викиди забруднюючих речовин склали 324 т  при аналогічному показнику в Україні – 11,3), Донецька обл. (64,7 т на 1 км</w:t>
      </w:r>
      <w:r w:rsidRPr="00A32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2197">
        <w:rPr>
          <w:rFonts w:ascii="Times New Roman" w:hAnsi="Times New Roman" w:cs="Times New Roman"/>
          <w:sz w:val="28"/>
          <w:szCs w:val="28"/>
        </w:rPr>
        <w:t>) , Луганська обл. (19,8 т на 1 км</w:t>
      </w:r>
      <w:r w:rsidRPr="00A32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2197">
        <w:rPr>
          <w:rFonts w:ascii="Times New Roman" w:hAnsi="Times New Roman" w:cs="Times New Roman"/>
          <w:sz w:val="28"/>
          <w:szCs w:val="28"/>
        </w:rPr>
        <w:t>), а також м. Севастополь (23,0 т на 1 км</w:t>
      </w:r>
      <w:r w:rsidRPr="00A32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2197">
        <w:rPr>
          <w:rFonts w:ascii="Times New Roman" w:hAnsi="Times New Roman" w:cs="Times New Roman"/>
          <w:sz w:val="28"/>
          <w:szCs w:val="28"/>
        </w:rPr>
        <w:t>) та Івано-Франківська обл. (17,9 т на 1 км</w:t>
      </w:r>
      <w:r w:rsidRPr="00A321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2197">
        <w:rPr>
          <w:rFonts w:ascii="Times New Roman" w:hAnsi="Times New Roman" w:cs="Times New Roman"/>
          <w:sz w:val="28"/>
          <w:szCs w:val="28"/>
        </w:rPr>
        <w:t>). По-третє, найменші викиди забруднюючих речовин в атмосферне повітря характерні для Волинської, Закарпатської, Кіровоградської, Миколаївської, Одеської, Тернопільської, Херсонської, Хмельницької, Чернівецької та Чернігівської о</w:t>
      </w:r>
      <w:r>
        <w:rPr>
          <w:rFonts w:ascii="Times New Roman" w:hAnsi="Times New Roman" w:cs="Times New Roman"/>
          <w:sz w:val="28"/>
          <w:szCs w:val="28"/>
        </w:rPr>
        <w:t>бластей. По-четверте, середньо-</w:t>
      </w:r>
      <w:r w:rsidRPr="00A32197">
        <w:rPr>
          <w:rFonts w:ascii="Times New Roman" w:hAnsi="Times New Roman" w:cs="Times New Roman"/>
          <w:sz w:val="28"/>
          <w:szCs w:val="28"/>
        </w:rPr>
        <w:t xml:space="preserve">національному рівню викиду забруднюючих речовин в атмосферне повітря відповідають території Запорізької, Київської, Львівської, Миколаївської та Харківської областей.  </w:t>
      </w:r>
    </w:p>
    <w:p w:rsidR="004039AA" w:rsidRPr="00A32197" w:rsidRDefault="004039AA" w:rsidP="0073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 xml:space="preserve">Загострення екологічної кризи в України та загрозливий характер стану довкілля, зокрема атмосферного повітря, земельних, водних, лісових ресурсів вимагає істотного посилення ролі держави, її центральних управлінських органів у розв’язанні екологічних проблем у господарській діяльності. У зв’язку із істотними відмінностями у соціально-економічному розвитку регіонів та екологічної ситуації в них, наявністю значної кількості територій підвищеного екологічного ризику й т.зв. «зон екологічного лиха» завданням держави є реалізація таких першочергових заходів: оздоровлення довкілля та реабілітація населення, що проживає в зонах із його найбільш критичним станом і регіонах надзвичайної екологічної ситуації; реальна та ефективна допомога у фінансуванні у регіонах, де розташовано природні об’єкти загальнодержавного значення, заподіяння шкоди яким може призвести до глобальних негативних екологічних наслідків; при виборі регіонів, що потребують пріоритетної підтримки держави у розв’язанні екологічних проблем, слід звернути увагу на величину екологічної шкоди від забруднення та деградації навколишнього середовища й аранжування всіх регіонів на основі порівняння сумарної екологічної шкоди з компенсаційними можливостями кожного із них. В еколого-економічній політиці необхідно дотримуватися переведення економіки на шлях маловідходних, ресурсоощадних  та високо інтенсивних технологій, створення екологічної природовідтворюваної інфраструктури на основі реалізації державних міжрегіональних програм.  </w:t>
      </w:r>
    </w:p>
    <w:p w:rsidR="004039AA" w:rsidRDefault="004039AA" w:rsidP="007300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У політиці природокористування доцільно здійснювати планування використання земельних ресурсів, а також приділяти більше уваги правильному співвідношенню полів і лісів. Адже ліси цілюще впливають на довкілля, особливо на сільськогосподарські культури, які стають значно продуктивнішими під дією лісу або лісосмуг. Тому у малолісних регіонах необхідно всіляко зберігати ділянки лісу як природо регулюючі фактори.</w:t>
      </w:r>
    </w:p>
    <w:p w:rsidR="004039AA" w:rsidRPr="00A32197" w:rsidRDefault="004039AA" w:rsidP="0073003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 w:rsidRPr="00A32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9AA" w:rsidRPr="00A32197" w:rsidRDefault="004039AA" w:rsidP="007300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Васюта С. Регіональне природокористування. Економічна енциклопедія:  У трьох томах. Т. 3 / Редкол.: … С. В. Мочерний  (від. ред.) та ін.. – К.: Видавничий центр «Академія», 2002.  – 952 с.</w:t>
      </w:r>
    </w:p>
    <w:p w:rsidR="004039AA" w:rsidRPr="00A32197" w:rsidRDefault="004039AA" w:rsidP="007300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hl"/>
          <w:rFonts w:ascii="Times New Roman" w:hAnsi="Times New Roman" w:cs="Times New Roman"/>
          <w:sz w:val="28"/>
          <w:szCs w:val="28"/>
        </w:rPr>
      </w:pPr>
      <w:r w:rsidRPr="00A32197">
        <w:rPr>
          <w:rStyle w:val="hl"/>
          <w:rFonts w:ascii="Times New Roman" w:hAnsi="Times New Roman" w:cs="Times New Roman"/>
          <w:sz w:val="28"/>
          <w:szCs w:val="28"/>
        </w:rPr>
        <w:t>Вернадский В. И. Избранные сочинения / В. И. Вернадский. – М., 1960. – Т. 5.</w:t>
      </w:r>
    </w:p>
    <w:p w:rsidR="004039AA" w:rsidRPr="00A32197" w:rsidRDefault="004039AA" w:rsidP="007300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Style w:val="hl"/>
          <w:rFonts w:ascii="Times New Roman" w:hAnsi="Times New Roman" w:cs="Times New Roman"/>
          <w:sz w:val="28"/>
          <w:szCs w:val="28"/>
        </w:rPr>
        <w:t>Воєйков</w:t>
      </w:r>
      <w:r w:rsidRPr="00A321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2197">
        <w:rPr>
          <w:rFonts w:ascii="Times New Roman" w:hAnsi="Times New Roman" w:cs="Times New Roman"/>
          <w:sz w:val="28"/>
          <w:szCs w:val="28"/>
          <w:shd w:val="clear" w:color="auto" w:fill="FFFFFF"/>
        </w:rPr>
        <w:t>А.И. Воздействие человека на природу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А.И</w:t>
      </w:r>
      <w:r w:rsidRPr="00A3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32197">
        <w:rPr>
          <w:rStyle w:val="hl"/>
          <w:rFonts w:ascii="Times New Roman" w:hAnsi="Times New Roman" w:cs="Times New Roman"/>
          <w:sz w:val="28"/>
          <w:szCs w:val="28"/>
        </w:rPr>
        <w:t>Воєйков</w:t>
      </w:r>
      <w:r>
        <w:rPr>
          <w:rStyle w:val="hl"/>
          <w:rFonts w:ascii="Times New Roman" w:hAnsi="Times New Roman" w:cs="Times New Roman"/>
          <w:sz w:val="28"/>
          <w:szCs w:val="28"/>
          <w:lang w:val="ru-RU"/>
        </w:rPr>
        <w:t>.</w:t>
      </w:r>
      <w:r w:rsidRPr="00A321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М., 1983. -  252 с.</w:t>
      </w:r>
    </w:p>
    <w:p w:rsidR="004039AA" w:rsidRPr="00A32197" w:rsidRDefault="004039AA" w:rsidP="007300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Фурдичко О. Ефективність ресурсно-виробничого потенціалу лісогосподарського комплексу (</w:t>
      </w:r>
      <w:r>
        <w:rPr>
          <w:rFonts w:ascii="Times New Roman" w:hAnsi="Times New Roman" w:cs="Times New Roman"/>
          <w:sz w:val="28"/>
          <w:szCs w:val="28"/>
        </w:rPr>
        <w:t>теорія, методологія, практика) / О.Фурдичко. -</w:t>
      </w:r>
      <w:r w:rsidRPr="00A32197">
        <w:rPr>
          <w:rFonts w:ascii="Times New Roman" w:hAnsi="Times New Roman" w:cs="Times New Roman"/>
          <w:sz w:val="28"/>
          <w:szCs w:val="28"/>
        </w:rPr>
        <w:t xml:space="preserve"> Львів: Видавництво «Світ», 1995. – 287 с. </w:t>
      </w:r>
    </w:p>
    <w:p w:rsidR="004039AA" w:rsidRPr="00A32197" w:rsidRDefault="004039AA" w:rsidP="007300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Манівчук Ю. В. Екологічні системи аграрного виробництва в Карпатах</w:t>
      </w:r>
      <w:r>
        <w:rPr>
          <w:rFonts w:ascii="Times New Roman" w:hAnsi="Times New Roman" w:cs="Times New Roman"/>
          <w:sz w:val="28"/>
          <w:szCs w:val="28"/>
        </w:rPr>
        <w:t xml:space="preserve"> / Ю.В.Манівчук</w:t>
      </w:r>
      <w:r w:rsidRPr="00A32197">
        <w:rPr>
          <w:rFonts w:ascii="Times New Roman" w:hAnsi="Times New Roman" w:cs="Times New Roman"/>
          <w:sz w:val="28"/>
          <w:szCs w:val="28"/>
        </w:rPr>
        <w:t>. – Ужгород: Видавництво «Закарпаття», 1996 – С. 276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9AA" w:rsidRDefault="004039AA" w:rsidP="007300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197">
        <w:rPr>
          <w:rFonts w:ascii="Times New Roman" w:hAnsi="Times New Roman" w:cs="Times New Roman"/>
          <w:sz w:val="28"/>
          <w:szCs w:val="28"/>
        </w:rPr>
        <w:t>Статистичний щорічник</w:t>
      </w:r>
      <w:r>
        <w:rPr>
          <w:rFonts w:ascii="Times New Roman" w:hAnsi="Times New Roman" w:cs="Times New Roman"/>
          <w:sz w:val="28"/>
          <w:szCs w:val="28"/>
        </w:rPr>
        <w:t xml:space="preserve"> України за 2012 рік / Державна служба статистики України; З</w:t>
      </w:r>
      <w:r w:rsidRPr="00A32197">
        <w:rPr>
          <w:rFonts w:ascii="Times New Roman" w:hAnsi="Times New Roman" w:cs="Times New Roman"/>
          <w:sz w:val="28"/>
          <w:szCs w:val="28"/>
        </w:rPr>
        <w:t>а ред. Осауленка О. Г. – К.: ТОВ «Август Трейд», 2013. – 551 с.</w:t>
      </w:r>
    </w:p>
    <w:sectPr w:rsidR="004039AA" w:rsidSect="009927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4EC2"/>
    <w:multiLevelType w:val="hybridMultilevel"/>
    <w:tmpl w:val="926A88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783C"/>
    <w:multiLevelType w:val="hybridMultilevel"/>
    <w:tmpl w:val="0C64DC5C"/>
    <w:lvl w:ilvl="0" w:tplc="61903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D14E16"/>
    <w:multiLevelType w:val="hybridMultilevel"/>
    <w:tmpl w:val="1236EA18"/>
    <w:lvl w:ilvl="0" w:tplc="856AD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3B084D"/>
    <w:multiLevelType w:val="hybridMultilevel"/>
    <w:tmpl w:val="1E3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7731E"/>
    <w:multiLevelType w:val="hybridMultilevel"/>
    <w:tmpl w:val="D8329164"/>
    <w:lvl w:ilvl="0" w:tplc="C78824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87B68DB"/>
    <w:multiLevelType w:val="hybridMultilevel"/>
    <w:tmpl w:val="873A572A"/>
    <w:lvl w:ilvl="0" w:tplc="6B10C9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92F"/>
    <w:rsid w:val="0001632E"/>
    <w:rsid w:val="00056398"/>
    <w:rsid w:val="000633BF"/>
    <w:rsid w:val="00120A3D"/>
    <w:rsid w:val="00133DF7"/>
    <w:rsid w:val="001A15C0"/>
    <w:rsid w:val="001C24D1"/>
    <w:rsid w:val="001D367A"/>
    <w:rsid w:val="001F2D1F"/>
    <w:rsid w:val="002056AD"/>
    <w:rsid w:val="0021185C"/>
    <w:rsid w:val="00240CA0"/>
    <w:rsid w:val="00253E13"/>
    <w:rsid w:val="00270503"/>
    <w:rsid w:val="002C15A8"/>
    <w:rsid w:val="002F5AC6"/>
    <w:rsid w:val="00354633"/>
    <w:rsid w:val="003704CC"/>
    <w:rsid w:val="00394B14"/>
    <w:rsid w:val="003A1EFD"/>
    <w:rsid w:val="003A5E09"/>
    <w:rsid w:val="003B67A9"/>
    <w:rsid w:val="003B6846"/>
    <w:rsid w:val="003E7F9E"/>
    <w:rsid w:val="004039AA"/>
    <w:rsid w:val="00420353"/>
    <w:rsid w:val="00423615"/>
    <w:rsid w:val="00465487"/>
    <w:rsid w:val="00470893"/>
    <w:rsid w:val="004956C8"/>
    <w:rsid w:val="004A0DD3"/>
    <w:rsid w:val="004A19A4"/>
    <w:rsid w:val="004A5B86"/>
    <w:rsid w:val="004E44A5"/>
    <w:rsid w:val="004E7B82"/>
    <w:rsid w:val="005114B8"/>
    <w:rsid w:val="0052466A"/>
    <w:rsid w:val="00531056"/>
    <w:rsid w:val="00544BBD"/>
    <w:rsid w:val="00555A31"/>
    <w:rsid w:val="005A0901"/>
    <w:rsid w:val="005D48C7"/>
    <w:rsid w:val="005E6A80"/>
    <w:rsid w:val="00610212"/>
    <w:rsid w:val="00626A17"/>
    <w:rsid w:val="006619AC"/>
    <w:rsid w:val="006625D2"/>
    <w:rsid w:val="00665DDD"/>
    <w:rsid w:val="006A3E85"/>
    <w:rsid w:val="006D5B80"/>
    <w:rsid w:val="006E15DF"/>
    <w:rsid w:val="006E27B1"/>
    <w:rsid w:val="00715891"/>
    <w:rsid w:val="00730030"/>
    <w:rsid w:val="00766FE7"/>
    <w:rsid w:val="00774AA4"/>
    <w:rsid w:val="00796D23"/>
    <w:rsid w:val="007A7727"/>
    <w:rsid w:val="007F7710"/>
    <w:rsid w:val="0081672B"/>
    <w:rsid w:val="00822E11"/>
    <w:rsid w:val="00827B55"/>
    <w:rsid w:val="00854CA6"/>
    <w:rsid w:val="008A40ED"/>
    <w:rsid w:val="008B30C3"/>
    <w:rsid w:val="008F2399"/>
    <w:rsid w:val="0090356C"/>
    <w:rsid w:val="009927FC"/>
    <w:rsid w:val="00997649"/>
    <w:rsid w:val="009A5A1C"/>
    <w:rsid w:val="009C53B9"/>
    <w:rsid w:val="009D4615"/>
    <w:rsid w:val="009F5093"/>
    <w:rsid w:val="00A15504"/>
    <w:rsid w:val="00A17BDF"/>
    <w:rsid w:val="00A27A0E"/>
    <w:rsid w:val="00A32197"/>
    <w:rsid w:val="00A7039E"/>
    <w:rsid w:val="00A7321B"/>
    <w:rsid w:val="00AA4FDE"/>
    <w:rsid w:val="00AB7388"/>
    <w:rsid w:val="00AF602F"/>
    <w:rsid w:val="00B61916"/>
    <w:rsid w:val="00B75314"/>
    <w:rsid w:val="00B820EF"/>
    <w:rsid w:val="00B9399D"/>
    <w:rsid w:val="00BA262F"/>
    <w:rsid w:val="00BA2A5B"/>
    <w:rsid w:val="00BA3FCE"/>
    <w:rsid w:val="00BD7ED7"/>
    <w:rsid w:val="00C20B84"/>
    <w:rsid w:val="00C22138"/>
    <w:rsid w:val="00C64683"/>
    <w:rsid w:val="00C70760"/>
    <w:rsid w:val="00C91CB4"/>
    <w:rsid w:val="00CA192F"/>
    <w:rsid w:val="00CB3C7F"/>
    <w:rsid w:val="00D03EA8"/>
    <w:rsid w:val="00D171EC"/>
    <w:rsid w:val="00D17F1F"/>
    <w:rsid w:val="00D36E6F"/>
    <w:rsid w:val="00D62135"/>
    <w:rsid w:val="00D82F65"/>
    <w:rsid w:val="00D9779C"/>
    <w:rsid w:val="00DA6402"/>
    <w:rsid w:val="00DC23B1"/>
    <w:rsid w:val="00E43EC7"/>
    <w:rsid w:val="00EA0801"/>
    <w:rsid w:val="00EA6B1B"/>
    <w:rsid w:val="00EB0B26"/>
    <w:rsid w:val="00ED7A8F"/>
    <w:rsid w:val="00EE3651"/>
    <w:rsid w:val="00EE401B"/>
    <w:rsid w:val="00EE4772"/>
    <w:rsid w:val="00EE4854"/>
    <w:rsid w:val="00EF6FCC"/>
    <w:rsid w:val="00F007E2"/>
    <w:rsid w:val="00F1296D"/>
    <w:rsid w:val="00F465AF"/>
    <w:rsid w:val="00F564D1"/>
    <w:rsid w:val="00F66D3C"/>
    <w:rsid w:val="00F807E8"/>
    <w:rsid w:val="00FB23AF"/>
    <w:rsid w:val="00FC49F5"/>
    <w:rsid w:val="00FC5055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D3"/>
    <w:pPr>
      <w:spacing w:after="200" w:line="276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15C0"/>
    <w:pPr>
      <w:keepNext/>
      <w:spacing w:after="0" w:line="240" w:lineRule="auto"/>
      <w:jc w:val="right"/>
      <w:outlineLvl w:val="0"/>
    </w:pPr>
    <w:rPr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5A8"/>
    <w:rPr>
      <w:rFonts w:ascii="Cambria" w:hAnsi="Cambria" w:cs="Cambria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CA192F"/>
    <w:pPr>
      <w:ind w:left="720"/>
    </w:pPr>
  </w:style>
  <w:style w:type="table" w:styleId="TableGrid">
    <w:name w:val="Table Grid"/>
    <w:basedOn w:val="TableNormal"/>
    <w:uiPriority w:val="99"/>
    <w:rsid w:val="002056A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DefaultParagraphFont"/>
    <w:uiPriority w:val="99"/>
    <w:rsid w:val="00D82F65"/>
  </w:style>
  <w:style w:type="character" w:customStyle="1" w:styleId="apple-converted-space">
    <w:name w:val="apple-converted-space"/>
    <w:basedOn w:val="DefaultParagraphFont"/>
    <w:uiPriority w:val="99"/>
    <w:rsid w:val="00D82F65"/>
  </w:style>
  <w:style w:type="paragraph" w:styleId="NormalWeb">
    <w:name w:val="Normal (Web)"/>
    <w:basedOn w:val="Normal"/>
    <w:uiPriority w:val="99"/>
    <w:semiHidden/>
    <w:rsid w:val="003A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1638</Words>
  <Characters>9339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332</dc:title>
  <dc:subject/>
  <dc:creator>Миша</dc:creator>
  <cp:keywords/>
  <dc:description/>
  <cp:lastModifiedBy>pc</cp:lastModifiedBy>
  <cp:revision>2</cp:revision>
  <cp:lastPrinted>2014-09-16T07:00:00Z</cp:lastPrinted>
  <dcterms:created xsi:type="dcterms:W3CDTF">2015-09-06T15:10:00Z</dcterms:created>
  <dcterms:modified xsi:type="dcterms:W3CDTF">2015-09-06T15:10:00Z</dcterms:modified>
</cp:coreProperties>
</file>