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7FFA" w14:textId="77777777" w:rsidR="00B46AA6" w:rsidRPr="00B54DD7" w:rsidRDefault="00B46AA6" w:rsidP="00B46AA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4D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УДК 811.111’373.2</w:t>
      </w:r>
    </w:p>
    <w:p w14:paraId="09257A42" w14:textId="77777777" w:rsidR="00B46AA6" w:rsidRPr="004E19A1" w:rsidRDefault="00B46AA6" w:rsidP="00B46AA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ПОЕТОНОМАСТИЧНА СИСТЕМА ФЕНТЕЗІЙНОЇ ПОВІСТІ "T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HE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MAGICIAN'S NEPHEW</w:t>
      </w:r>
      <w:r w:rsidRPr="00767A6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"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К.С. Л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ЬЮЇСА</w:t>
      </w:r>
    </w:p>
    <w:p w14:paraId="7DCFE0AF" w14:textId="77777777" w:rsidR="00B46AA6" w:rsidRDefault="00B46AA6" w:rsidP="00B46AA6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Глюдзик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Ю.В.</w:t>
      </w:r>
    </w:p>
    <w:p w14:paraId="2AEB87F2" w14:textId="77777777" w:rsidR="00B46AA6" w:rsidRDefault="00B46AA6" w:rsidP="00B46AA6">
      <w:pPr>
        <w:spacing w:line="360" w:lineRule="auto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Кафедра англійської філології,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  <w:t>к.ф.н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  <w:t>.</w:t>
      </w:r>
    </w:p>
    <w:p w14:paraId="28CB17D2" w14:textId="77777777" w:rsidR="00B46AA6" w:rsidRDefault="00B46AA6" w:rsidP="00B46A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Вивчення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особливостей власних назв, їхнього функціонування на рівні художніх творів та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організація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поетономастичного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простору цих творів дедалі активніше стає предметом наукового опрацювання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сучасній лінгвістиці. 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Доробки у ць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ому руслі спрямовані на дослідження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вмотиво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ваності вибору автором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поет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онімних</w:t>
      </w:r>
      <w:proofErr w:type="spellEnd"/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утворень для введення у художній твір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аліз їхньої природи (Л.О.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Белей</w:t>
      </w:r>
      <w:proofErr w:type="spellEnd"/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[1],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О.Р. </w:t>
      </w:r>
      <w:proofErr w:type="spellStart"/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Сколоздра</w:t>
      </w:r>
      <w:proofErr w:type="spellEnd"/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[5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3535B7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В.Р.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Маурер</w:t>
      </w:r>
      <w:proofErr w:type="spellEnd"/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[6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])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визначення значущості власних назв у творі шляхом вивчення особливостей їхнього функціонування (Е.В.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Боєва</w:t>
      </w:r>
      <w:proofErr w:type="spellEnd"/>
      <w:r w:rsidRPr="003535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[2]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С.Н. Бук</w:t>
      </w:r>
      <w:r w:rsidRPr="003535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[3]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Л.В. Литвин </w:t>
      </w:r>
      <w:r w:rsidRPr="003535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[4]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Розгляд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поетономастичної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системи художнього твору передбачає дослідження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семантичних класів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поетонімів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їхнього 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змістового наповнення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структурних рис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 також особливостей їхнього представлення у творі,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що і визначає </w:t>
      </w:r>
      <w:r w:rsidRPr="00F653C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актуальність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нашого дослідження. </w:t>
      </w:r>
      <w:proofErr w:type="spellStart"/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ентезійна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повість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B01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The</w:t>
      </w:r>
      <w:r w:rsidRPr="002B01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Magician</w:t>
      </w:r>
      <w:r w:rsidRPr="002B01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</w:t>
      </w:r>
      <w:r w:rsidRPr="002B01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Nephew</w:t>
      </w:r>
      <w:r w:rsidRPr="002B01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” з циклу 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The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Chronicles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of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Narnia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653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К. С. Льюїса слугує ілюстративним матеріалом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а об</w:t>
      </w:r>
      <w:r w:rsidRPr="009B17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єктом аналізу обрано її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поетонімний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простір.</w:t>
      </w:r>
    </w:p>
    <w:p w14:paraId="125DA304" w14:textId="77777777" w:rsidR="00B46AA6" w:rsidRDefault="00B46AA6" w:rsidP="00B46A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Поетонімний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простір художнього твору є результатом цілеспрямованого вибо</w:t>
      </w:r>
      <w:r w:rsidRPr="00B717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Pr="00B717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автора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повторне вживання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поетонімів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сторінках твору та наділення їх особливим змістом </w:t>
      </w:r>
      <w:r w:rsidRPr="00B717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роби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ть їх семантично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увиразненими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B717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підкре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слює їхню стилістичну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маркованість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зосереджує на них увагу читачів. Власні назви</w:t>
      </w:r>
      <w:r w:rsidRPr="00B717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утверджують художню реальність, 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виразнюють стиль представлення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наративу</w:t>
      </w:r>
      <w:proofErr w:type="spellEnd"/>
      <w:r w:rsidRPr="00B717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стают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 одним із найвагоміших елементів</w:t>
      </w:r>
      <w:r w:rsidRPr="00B7177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авт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орського стилю.</w:t>
      </w:r>
    </w:p>
    <w:p w14:paraId="2D438E1F" w14:textId="77777777" w:rsidR="00B46AA6" w:rsidRDefault="00B46AA6" w:rsidP="00B46A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Яскравим прикладом ретельно опрацьованого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поетономастичного</w:t>
      </w:r>
      <w:proofErr w:type="spellEnd"/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забезпечення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є 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поетонімний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простір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фентезійного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твору 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The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Magician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Nephew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К.С. Льюїса.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Система власних назв 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досліджуваної повісті вражає 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поетичністю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розмаїттям, містить приклади авторського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новаторства та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вражає кількістю номінацій. Автор майстерно вплітає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поетоніми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сюжетну канву творів, а 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іменовані ними художні образи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увиразнюють їхній художній потенціал. Елементи семантики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поетонімів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твору додатково 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характеризують персонажів у ході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розгортання сюжету.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Поетонімний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фонд повісті є напрочуд різноплановий, що дозволяє передати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лінгвокультурні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риси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англомовного етносу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14:paraId="13B0018C" w14:textId="77777777" w:rsidR="00B46AA6" w:rsidRDefault="00B46AA6" w:rsidP="00B46A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Система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поетонімів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представлена найширше </w:t>
      </w:r>
      <w:proofErr w:type="spellStart"/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антропонімічними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міфологічними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топонім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ічними іменуваннями. Високу частотність</w:t>
      </w:r>
      <w:r w:rsidRPr="001A6D9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вживання іменувань головних персонажів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найбільших географічних об</w:t>
      </w:r>
      <w:r w:rsidRPr="00800F6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єктів можна пояснити</w:t>
      </w:r>
      <w:r w:rsidRPr="001A6D9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віковими та психологічними особливостями сприйняття дітей,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що виступає</w:t>
      </w:r>
      <w:r w:rsidRPr="001A6D9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основно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 масою</w:t>
      </w:r>
      <w:r w:rsidRPr="001A6D9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читачів, на яку розрахована повість.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Усі ці власні назви дають змогу належно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оцінити авторське бачення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персонажів та 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текс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ту, його дійсності, 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культурно-</w:t>
      </w:r>
      <w:proofErr w:type="spellStart"/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мовну</w:t>
      </w:r>
      <w:proofErr w:type="spellEnd"/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картину світу та </w:t>
      </w:r>
      <w:proofErr w:type="spellStart"/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ідейно</w:t>
      </w:r>
      <w:proofErr w:type="spellEnd"/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-смисловий рівень тв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ору. </w:t>
      </w:r>
    </w:p>
    <w:p w14:paraId="623819DF" w14:textId="77777777" w:rsidR="00B46AA6" w:rsidRDefault="00B46AA6" w:rsidP="00B46A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Великий відсоток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поетонімного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простору повісті складають власні назви реальної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поетонімії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r w:rsidRPr="00CD739B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Uncle</w:t>
      </w:r>
      <w:r w:rsidRPr="00CD739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CD739B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Andrew</w:t>
      </w:r>
      <w:r w:rsidRPr="001713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CD739B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Polly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). Клас </w:t>
      </w:r>
      <w:proofErr w:type="spellStart"/>
      <w:r w:rsidRPr="000003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антропопоетонімів</w:t>
      </w:r>
      <w:proofErr w:type="spellEnd"/>
      <w:r w:rsidRPr="000003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представлений звичними в англійській мові іменами, у формі кільк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ох структурних моделей (</w:t>
      </w:r>
      <w:r w:rsidRPr="009159D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ім’я, </w:t>
      </w:r>
      <w:proofErr w:type="spellStart"/>
      <w:r w:rsidRPr="009159D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ім’я+прізвище</w:t>
      </w:r>
      <w:proofErr w:type="spellEnd"/>
      <w:r w:rsidRPr="009159D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, </w:t>
      </w:r>
      <w:proofErr w:type="spellStart"/>
      <w:r w:rsidRPr="009159D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ідентифікучий</w:t>
      </w:r>
      <w:proofErr w:type="spellEnd"/>
      <w:r w:rsidRPr="009159D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Pr="009159D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елемент+ім’я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). Усталені для англомовних читачів моделі </w:t>
      </w:r>
      <w:r w:rsidRPr="009159D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ім’я, </w:t>
      </w:r>
      <w:proofErr w:type="spellStart"/>
      <w:r w:rsidRPr="009159DF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ім’я+прізвище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використовую</w:t>
      </w:r>
      <w:r w:rsidRPr="000003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ться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автором за</w:t>
      </w:r>
      <w:r w:rsidRPr="000003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для іменування персонажів реального світу з додатковою експресивною </w:t>
      </w:r>
      <w:proofErr w:type="spellStart"/>
      <w:r w:rsidRPr="000003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культуромісткою</w:t>
      </w:r>
      <w:proofErr w:type="spellEnd"/>
      <w:r w:rsidRPr="000003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інформацією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 правило, у другому компоненті.</w:t>
      </w:r>
      <w:r w:rsidRPr="000003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Однак, це не значить, що власне імена людей позбавлені культурних відомостей.</w:t>
      </w:r>
      <w:r w:rsidRPr="000003A7">
        <w:t xml:space="preserve"> </w:t>
      </w:r>
      <w:r w:rsidRPr="009159DF">
        <w:rPr>
          <w:rFonts w:ascii="Times New Roman" w:hAnsi="Times New Roman" w:cs="Times New Roman"/>
          <w:sz w:val="24"/>
          <w:szCs w:val="24"/>
          <w:lang w:val="uk-UA"/>
        </w:rPr>
        <w:t xml:space="preserve">Для прикладу, </w:t>
      </w:r>
      <w:proofErr w:type="spellStart"/>
      <w:r w:rsidRPr="009159DF">
        <w:rPr>
          <w:rFonts w:ascii="Times New Roman" w:hAnsi="Times New Roman" w:cs="Times New Roman"/>
          <w:sz w:val="24"/>
          <w:szCs w:val="24"/>
        </w:rPr>
        <w:t>однокомпонентний</w:t>
      </w:r>
      <w:proofErr w:type="spellEnd"/>
      <w:r w:rsidRPr="0091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9DF">
        <w:rPr>
          <w:rFonts w:ascii="Times New Roman" w:hAnsi="Times New Roman" w:cs="Times New Roman"/>
          <w:sz w:val="24"/>
          <w:szCs w:val="24"/>
        </w:rPr>
        <w:t>антр</w:t>
      </w:r>
      <w:r>
        <w:rPr>
          <w:rFonts w:ascii="Times New Roman" w:hAnsi="Times New Roman" w:cs="Times New Roman"/>
          <w:sz w:val="24"/>
          <w:szCs w:val="24"/>
        </w:rPr>
        <w:t>опопоетонім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Digory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вказує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9159DF">
        <w:rPr>
          <w:rFonts w:ascii="Times New Roman" w:hAnsi="Times New Roman" w:cs="Times New Roman"/>
          <w:sz w:val="24"/>
          <w:szCs w:val="24"/>
        </w:rPr>
        <w:t xml:space="preserve"> маленького хлопчика, </w:t>
      </w:r>
      <w:proofErr w:type="spellStart"/>
      <w:r w:rsidRPr="009159DF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91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9DF">
        <w:rPr>
          <w:rFonts w:ascii="Times New Roman" w:hAnsi="Times New Roman" w:cs="Times New Roman"/>
          <w:sz w:val="24"/>
          <w:szCs w:val="24"/>
        </w:rPr>
        <w:t>манять</w:t>
      </w:r>
      <w:proofErr w:type="spellEnd"/>
      <w:r w:rsidRPr="0091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9DF">
        <w:rPr>
          <w:rFonts w:ascii="Times New Roman" w:hAnsi="Times New Roman" w:cs="Times New Roman"/>
          <w:sz w:val="24"/>
          <w:szCs w:val="24"/>
        </w:rPr>
        <w:t>пригоди</w:t>
      </w:r>
      <w:proofErr w:type="spellEnd"/>
      <w:r w:rsidRPr="009159D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159DF">
        <w:rPr>
          <w:rFonts w:ascii="Times New Roman" w:hAnsi="Times New Roman" w:cs="Times New Roman"/>
          <w:sz w:val="24"/>
          <w:szCs w:val="24"/>
        </w:rPr>
        <w:t>переповнює</w:t>
      </w:r>
      <w:proofErr w:type="spellEnd"/>
      <w:r w:rsidRPr="0091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9DF">
        <w:rPr>
          <w:rFonts w:ascii="Times New Roman" w:hAnsi="Times New Roman" w:cs="Times New Roman"/>
          <w:sz w:val="24"/>
          <w:szCs w:val="24"/>
        </w:rPr>
        <w:t>цікавість</w:t>
      </w:r>
      <w:proofErr w:type="spellEnd"/>
      <w:r w:rsidRPr="009159D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159DF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91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9DF">
        <w:rPr>
          <w:rFonts w:ascii="Times New Roman" w:hAnsi="Times New Roman" w:cs="Times New Roman"/>
          <w:sz w:val="24"/>
          <w:szCs w:val="24"/>
        </w:rPr>
        <w:t>таємничого</w:t>
      </w:r>
      <w:proofErr w:type="spellEnd"/>
      <w:r w:rsidRPr="00915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9D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159D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159DF">
        <w:rPr>
          <w:rFonts w:ascii="Times New Roman" w:hAnsi="Times New Roman" w:cs="Times New Roman"/>
          <w:sz w:val="24"/>
          <w:szCs w:val="24"/>
        </w:rPr>
        <w:t>докопується</w:t>
      </w:r>
      <w:proofErr w:type="spellEnd"/>
      <w:r w:rsidRPr="009159DF">
        <w:rPr>
          <w:rFonts w:ascii="Times New Roman" w:hAnsi="Times New Roman" w:cs="Times New Roman"/>
          <w:sz w:val="24"/>
          <w:szCs w:val="24"/>
        </w:rPr>
        <w:t xml:space="preserve">” до </w:t>
      </w:r>
      <w:proofErr w:type="spellStart"/>
      <w:r w:rsidRPr="009159DF">
        <w:rPr>
          <w:rFonts w:ascii="Times New Roman" w:hAnsi="Times New Roman" w:cs="Times New Roman"/>
          <w:sz w:val="24"/>
          <w:szCs w:val="24"/>
        </w:rPr>
        <w:t>істини</w:t>
      </w:r>
      <w:proofErr w:type="spellEnd"/>
      <w:r w:rsidRPr="009159DF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9159DF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91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9DF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9159DF">
        <w:rPr>
          <w:rFonts w:ascii="Times New Roman" w:hAnsi="Times New Roman" w:cs="Times New Roman"/>
          <w:sz w:val="24"/>
          <w:szCs w:val="24"/>
        </w:rPr>
        <w:t xml:space="preserve"> </w:t>
      </w:r>
      <w:r w:rsidRPr="009159D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159D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15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59DF">
        <w:rPr>
          <w:rFonts w:ascii="Times New Roman" w:hAnsi="Times New Roman" w:cs="Times New Roman"/>
          <w:sz w:val="24"/>
          <w:szCs w:val="24"/>
        </w:rPr>
        <w:t>англійського</w:t>
      </w:r>
      <w:proofErr w:type="spellEnd"/>
      <w:r w:rsidRPr="00915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to dig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59DF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9159DF">
        <w:rPr>
          <w:rFonts w:ascii="Times New Roman" w:hAnsi="Times New Roman" w:cs="Times New Roman"/>
          <w:sz w:val="24"/>
          <w:szCs w:val="24"/>
          <w:lang w:val="en-US"/>
        </w:rPr>
        <w:t>]) :“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I suppose we ought to have a look at it then," said Digory</w:t>
      </w:r>
      <w:r>
        <w:rPr>
          <w:rFonts w:ascii="Times New Roman" w:hAnsi="Times New Roman" w:cs="Times New Roman"/>
          <w:sz w:val="24"/>
          <w:szCs w:val="24"/>
          <w:lang w:val="en-US"/>
        </w:rPr>
        <w:t>” [7</w:t>
      </w:r>
      <w:r w:rsidRPr="009159DF">
        <w:rPr>
          <w:rFonts w:ascii="Times New Roman" w:hAnsi="Times New Roman" w:cs="Times New Roman"/>
          <w:sz w:val="24"/>
          <w:szCs w:val="24"/>
          <w:lang w:val="en-US"/>
        </w:rPr>
        <w:t>, c. 13], "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Shall we go and try it now?" said Digory”</w:t>
      </w:r>
      <w:r w:rsidRPr="009159DF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9159DF">
        <w:rPr>
          <w:rFonts w:ascii="Times New Roman" w:hAnsi="Times New Roman" w:cs="Times New Roman"/>
          <w:sz w:val="24"/>
          <w:szCs w:val="24"/>
        </w:rPr>
        <w:t>там</w:t>
      </w:r>
      <w:r w:rsidRPr="00915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59DF">
        <w:rPr>
          <w:rFonts w:ascii="Times New Roman" w:hAnsi="Times New Roman" w:cs="Times New Roman"/>
          <w:sz w:val="24"/>
          <w:szCs w:val="24"/>
        </w:rPr>
        <w:t>само</w:t>
      </w:r>
      <w:r w:rsidRPr="009159DF">
        <w:rPr>
          <w:rFonts w:ascii="Times New Roman" w:hAnsi="Times New Roman" w:cs="Times New Roman"/>
          <w:sz w:val="24"/>
          <w:szCs w:val="24"/>
          <w:lang w:val="en-US"/>
        </w:rPr>
        <w:t>, c. 14].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03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Така традиці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йна для художніх творів модель</w:t>
      </w:r>
      <w:r w:rsidRPr="000003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використовуються для іменування персонажів реального світу, що протиставляються </w:t>
      </w:r>
      <w:proofErr w:type="spellStart"/>
      <w:r w:rsidRPr="000003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нарнійським</w:t>
      </w:r>
      <w:proofErr w:type="spellEnd"/>
      <w:r w:rsidRPr="000003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мешканцям, які у повістях наділені власне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новоутвореними </w:t>
      </w:r>
      <w:proofErr w:type="spellStart"/>
      <w:r w:rsidRPr="000003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поетонімними</w:t>
      </w:r>
      <w:proofErr w:type="spellEnd"/>
      <w:r w:rsidRPr="000003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іменуваннями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1D455AD4" w14:textId="77777777" w:rsidR="00B46AA6" w:rsidRPr="00CD739B" w:rsidRDefault="00B46AA6" w:rsidP="00B46A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Ряд власних назв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повісті</w:t>
      </w:r>
      <w:r w:rsidRPr="001A6D9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вимагають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особливої 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обізнаності  читачів у власних назвах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їхньої культурно-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компетентності. Однак, належне та влучне контекстуальне оформлення забезпечує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сприйняття його змісту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вказує на</w:t>
      </w:r>
      <w:r w:rsidRPr="001B6C0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культурну компетентність читачів.</w:t>
      </w:r>
      <w:r w:rsidRPr="001A6D9D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Прикладом такого іменування може слугувати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поетонім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Jadis</w:t>
      </w:r>
      <w:proofErr w:type="spellEnd"/>
      <w:r w:rsidRPr="00800F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що при першому знайомстві з персонажем і його іменем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 надає нам обширних відомостей про його етимологію або ж конотативне значення, однак це компенсується його контекстуальним вживанням у ході розгортання сюжету</w:t>
      </w:r>
      <w:r w:rsidRPr="00800F61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Then</w:t>
      </w:r>
      <w:proofErr w:type="spellEnd"/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Jadis</w:t>
      </w:r>
      <w:proofErr w:type="spellEnd"/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spoke</w:t>
      </w:r>
      <w:proofErr w:type="spellEnd"/>
      <w:r w:rsidRPr="00CD73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not</w:t>
      </w:r>
      <w:proofErr w:type="spellEnd"/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very</w:t>
      </w:r>
      <w:proofErr w:type="spellEnd"/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loud</w:t>
      </w:r>
      <w:proofErr w:type="spellEnd"/>
      <w:r w:rsidRPr="00CD73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her</w:t>
      </w:r>
      <w:proofErr w:type="spellEnd"/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voice</w:t>
      </w:r>
      <w:proofErr w:type="spellEnd"/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made</w:t>
      </w:r>
      <w:proofErr w:type="spellEnd"/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whole</w:t>
      </w:r>
      <w:proofErr w:type="spellEnd"/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room</w:t>
      </w:r>
      <w:proofErr w:type="spellEnd"/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</w:rPr>
        <w:t>quiver</w:t>
      </w:r>
      <w:proofErr w:type="spellEnd"/>
      <w:r w:rsidRPr="00800F61">
        <w:rPr>
          <w:rFonts w:ascii="Times New Roman" w:hAnsi="Times New Roman" w:cs="Times New Roman"/>
          <w:sz w:val="24"/>
          <w:szCs w:val="24"/>
        </w:rPr>
        <w:t>”</w:t>
      </w:r>
      <w:r w:rsidRPr="000003A7">
        <w:rPr>
          <w:rFonts w:ascii="Times New Roman" w:hAnsi="Times New Roman" w:cs="Times New Roman"/>
          <w:sz w:val="24"/>
          <w:szCs w:val="24"/>
        </w:rPr>
        <w:t xml:space="preserve"> </w:t>
      </w:r>
      <w:r w:rsidRPr="00CD739B">
        <w:rPr>
          <w:rFonts w:ascii="Times New Roman" w:hAnsi="Times New Roman" w:cs="Times New Roman"/>
          <w:sz w:val="24"/>
          <w:szCs w:val="24"/>
        </w:rPr>
        <w:t>[</w:t>
      </w:r>
      <w:r w:rsidRPr="003535B7">
        <w:rPr>
          <w:rFonts w:ascii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35B7">
        <w:rPr>
          <w:rFonts w:ascii="Times New Roman" w:hAnsi="Times New Roman" w:cs="Times New Roman"/>
          <w:sz w:val="24"/>
          <w:szCs w:val="24"/>
        </w:rPr>
        <w:t xml:space="preserve">. </w:t>
      </w:r>
      <w:r w:rsidRPr="00042078">
        <w:rPr>
          <w:rFonts w:ascii="Times New Roman" w:hAnsi="Times New Roman" w:cs="Times New Roman"/>
          <w:sz w:val="24"/>
          <w:szCs w:val="24"/>
        </w:rPr>
        <w:t>46</w:t>
      </w:r>
      <w:r w:rsidRPr="00CD739B">
        <w:rPr>
          <w:rFonts w:ascii="Times New Roman" w:hAnsi="Times New Roman" w:cs="Times New Roman"/>
          <w:sz w:val="24"/>
          <w:szCs w:val="24"/>
        </w:rPr>
        <w:t>], “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He</w:t>
      </w:r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began</w:t>
      </w:r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muttering</w:t>
      </w:r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something</w:t>
      </w:r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about</w:t>
      </w:r>
      <w:r w:rsidRPr="00CD739B">
        <w:rPr>
          <w:rFonts w:ascii="Times New Roman" w:hAnsi="Times New Roman" w:cs="Times New Roman"/>
          <w:i/>
          <w:sz w:val="24"/>
          <w:szCs w:val="24"/>
        </w:rPr>
        <w:t xml:space="preserve"> "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regrettable</w:t>
      </w:r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violence</w:t>
      </w:r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really</w:t>
      </w:r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protest</w:t>
      </w:r>
      <w:r w:rsidRPr="00CD739B">
        <w:rPr>
          <w:rFonts w:ascii="Times New Roman" w:hAnsi="Times New Roman" w:cs="Times New Roman"/>
          <w:i/>
          <w:sz w:val="24"/>
          <w:szCs w:val="24"/>
        </w:rPr>
        <w:t xml:space="preserve">", 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single</w:t>
      </w:r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glance</w:t>
      </w:r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from</w:t>
      </w:r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Jadis</w:t>
      </w:r>
      <w:proofErr w:type="spellEnd"/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he</w:t>
      </w:r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became</w:t>
      </w:r>
      <w:r w:rsidRPr="00CD7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39B">
        <w:rPr>
          <w:rFonts w:ascii="Times New Roman" w:hAnsi="Times New Roman" w:cs="Times New Roman"/>
          <w:i/>
          <w:sz w:val="24"/>
          <w:szCs w:val="24"/>
          <w:lang w:val="en-US"/>
        </w:rPr>
        <w:t>speechless</w:t>
      </w:r>
      <w:r w:rsidRPr="00CD739B">
        <w:rPr>
          <w:rFonts w:ascii="Times New Roman" w:hAnsi="Times New Roman" w:cs="Times New Roman"/>
          <w:sz w:val="24"/>
          <w:szCs w:val="24"/>
        </w:rPr>
        <w:t>” [</w:t>
      </w:r>
      <w:r w:rsidRPr="003535B7">
        <w:rPr>
          <w:rFonts w:ascii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35B7">
        <w:rPr>
          <w:rFonts w:ascii="Times New Roman" w:hAnsi="Times New Roman" w:cs="Times New Roman"/>
          <w:sz w:val="24"/>
          <w:szCs w:val="24"/>
        </w:rPr>
        <w:t xml:space="preserve">. </w:t>
      </w:r>
      <w:r w:rsidRPr="00042078">
        <w:rPr>
          <w:rFonts w:ascii="Times New Roman" w:hAnsi="Times New Roman" w:cs="Times New Roman"/>
          <w:sz w:val="24"/>
          <w:szCs w:val="24"/>
        </w:rPr>
        <w:t>52</w:t>
      </w:r>
      <w:r w:rsidRPr="00CD739B">
        <w:rPr>
          <w:rFonts w:ascii="Times New Roman" w:hAnsi="Times New Roman" w:cs="Times New Roman"/>
          <w:sz w:val="24"/>
          <w:szCs w:val="24"/>
        </w:rPr>
        <w:t>].</w:t>
      </w:r>
    </w:p>
    <w:p w14:paraId="08BA3031" w14:textId="77777777" w:rsidR="00B46AA6" w:rsidRPr="00CD739B" w:rsidRDefault="00B46AA6" w:rsidP="00B46A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підсумувати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поетонімна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система</w:t>
      </w:r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>фентезійної</w:t>
      </w:r>
      <w:proofErr w:type="spellEnd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повісті</w:t>
      </w:r>
      <w:proofErr w:type="spellEnd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The</w:t>
      </w:r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Magician</w:t>
      </w:r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</w:t>
      </w:r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Nephew</w:t>
      </w:r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”   </w:t>
      </w:r>
      <w:proofErr w:type="gramEnd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К.С. Льюїса</w:t>
      </w:r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відіграє</w:t>
      </w:r>
      <w:proofErr w:type="spellEnd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>вагому</w:t>
      </w:r>
      <w:proofErr w:type="spellEnd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роль на </w:t>
      </w:r>
      <w:proofErr w:type="spellStart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образотворчому</w:t>
      </w:r>
      <w:proofErr w:type="spellEnd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>рівні</w:t>
      </w:r>
      <w:proofErr w:type="spellEnd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тексту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>широку</w:t>
      </w:r>
      <w:proofErr w:type="spellEnd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гамму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особливостей представлення у творі та</w:t>
      </w:r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елементом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при аналізі </w:t>
      </w:r>
      <w:proofErr w:type="spellStart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>ідіолекту</w:t>
      </w:r>
      <w:proofErr w:type="spellEnd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письменника</w:t>
      </w:r>
      <w:proofErr w:type="spellEnd"/>
      <w:r w:rsidRPr="00CD739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69D76B9D" w14:textId="77777777" w:rsidR="00B46AA6" w:rsidRPr="00CD739B" w:rsidRDefault="00B46AA6" w:rsidP="00B46AA6">
      <w:pPr>
        <w:spacing w:line="240" w:lineRule="auto"/>
        <w:jc w:val="both"/>
        <w:rPr>
          <w:sz w:val="24"/>
          <w:szCs w:val="24"/>
        </w:rPr>
      </w:pPr>
    </w:p>
    <w:p w14:paraId="08485F7F" w14:textId="77777777" w:rsidR="00B46AA6" w:rsidRDefault="00B46AA6" w:rsidP="00B46AA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Література</w:t>
      </w:r>
    </w:p>
    <w:p w14:paraId="5B844F78" w14:textId="77777777" w:rsidR="00B46AA6" w:rsidRPr="00A25615" w:rsidRDefault="00B46AA6" w:rsidP="00B4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Белей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Л.О. Нова українська літературно-художня антропонімія : проблеми теорії та історії / Л.О.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Белей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. – Ужгород, 2002. – 176 с. 2.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Боєва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Е.В.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Онімічний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простір у художньому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світовідтворенні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Григорія Сковороди // Записки з ономастики =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Opera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onomastica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. наук. пр. / [ред.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кол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. : О.Ю. Карпенко (відп. ред.) та ін.]. – Одеса :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Астропринт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, 2008. –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. 11. – С. 72–81. 3. Бук С.Н.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Онімний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простір роману Івана Франка “Перехресні стежки” // Логос ономастики : науковий журнал / [гол. ред.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Отін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Є.С.]. – Донецьк : Юго-Восток,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Лтд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, 2012. – № 4. – С. 68-76. 4. Литвин Л.В. Ономастична система художньої прози (на матеріалі французьких романів ХХІ – ХХ століть) :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автореф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дис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. на здобуття наук. ступеня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канд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>. філолог. наук : спец. 10.02.05 “Романські мови” / Л.В. Литвин. – Київ, 2006. – 17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Сколоздра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О.Р.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Онімна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апелятивна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номінація осіб і малій прозі Івана Франка :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автореф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дис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. на здобуття наук. ступеня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канд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. філолог. наук : [спец.] 10.02.01 “Українська мова” / О.Р.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Сколоздра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; Львів.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нац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. ун-т ім. Івана Франка. – Л., 2009. – 18 с. 6.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Maurer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W.R.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Trends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Literary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Scholarship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German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Onomastics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An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Overview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/ W.R.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Maurer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German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Quarterly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, 1983. –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Vol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. 56. –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No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>. 1. – P. 89-105.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Lewis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C.</w:t>
      </w:r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S.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Magician’s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Nephew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Chronicles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Narnia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/ C.S.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Lewis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London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HarperCollins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Publishers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>, 2010. – P. 7–106.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8.</w:t>
      </w:r>
      <w:r>
        <w:rPr>
          <w:lang w:val="en-US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Online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Etymology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Dictionary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Electronic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resource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]. –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Available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5615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Pr="00A25615">
        <w:rPr>
          <w:rFonts w:ascii="Times New Roman" w:hAnsi="Times New Roman" w:cs="Times New Roman"/>
          <w:sz w:val="24"/>
          <w:szCs w:val="24"/>
          <w:lang w:val="uk-UA"/>
        </w:rPr>
        <w:t xml:space="preserve"> : http://www.etymonline.com.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570C459" w14:textId="77777777" w:rsidR="00B46AA6" w:rsidRPr="00B46AA6" w:rsidRDefault="00B46AA6">
      <w:pPr>
        <w:rPr>
          <w:lang w:val="uk-UA"/>
        </w:rPr>
      </w:pPr>
    </w:p>
    <w:sectPr w:rsidR="00B46AA6" w:rsidRPr="00B46AA6" w:rsidSect="00B54D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A6"/>
    <w:rsid w:val="00B4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9428"/>
  <w15:chartTrackingRefBased/>
  <w15:docId w15:val="{48EA90CA-762A-4915-96F4-0DA43D6F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2023-03-29T05:51:00Z</dcterms:created>
  <dcterms:modified xsi:type="dcterms:W3CDTF">2023-03-29T05:51:00Z</dcterms:modified>
</cp:coreProperties>
</file>