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920" w14:textId="13E37660" w:rsidR="005A14FA" w:rsidRPr="0018743C" w:rsidRDefault="000D6589" w:rsidP="003176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bookmarkStart w:id="0" w:name="_Hlk136795575"/>
      <w:bookmarkEnd w:id="0"/>
      <w:r w:rsidRPr="0018743C">
        <w:rPr>
          <w:rFonts w:ascii="Times New Roman" w:hAnsi="Times New Roman" w:cs="Times New Roman"/>
          <w:sz w:val="24"/>
          <w:szCs w:val="24"/>
          <w:lang w:val="uk-UA"/>
        </w:rPr>
        <w:t>УДК</w:t>
      </w:r>
      <w:r w:rsidR="006A7D06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6AD3" w:rsidRPr="0018743C">
        <w:rPr>
          <w:rFonts w:ascii="Times New Roman" w:hAnsi="Times New Roman" w:cs="Times New Roman"/>
          <w:sz w:val="24"/>
          <w:szCs w:val="24"/>
          <w:u w:val="single"/>
          <w:lang w:val="uk-UA"/>
        </w:rPr>
        <w:t>314.117.1(477.87)</w:t>
      </w:r>
    </w:p>
    <w:p w14:paraId="18410583" w14:textId="77777777" w:rsidR="0087036D" w:rsidRPr="0018743C" w:rsidRDefault="0087036D" w:rsidP="003176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883E11E" w14:textId="1FCA0FCB" w:rsidR="000D6589" w:rsidRPr="0018743C" w:rsidRDefault="000D6589" w:rsidP="00317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743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ДЕМОГРАФІЧНИХ ПРОЦЕСІВ ІРШАВЩИНИ ЗА 1991-2020 РР.</w:t>
      </w:r>
    </w:p>
    <w:p w14:paraId="25CCA9AD" w14:textId="77777777" w:rsidR="0087036D" w:rsidRPr="0018743C" w:rsidRDefault="0087036D" w:rsidP="00317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523D5EA" w14:textId="4B7407AE" w:rsidR="000D6589" w:rsidRPr="0018743C" w:rsidRDefault="00EA744A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proofErr w:type="spellStart"/>
      <w:r w:rsidRPr="001874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Сніжанна</w:t>
      </w:r>
      <w:proofErr w:type="spellEnd"/>
      <w:r w:rsidR="005A5AE1" w:rsidRPr="001874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5A5AE1" w:rsidRPr="001874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Капцош</w:t>
      </w:r>
      <w:proofErr w:type="spellEnd"/>
      <w:r w:rsidR="005A5AE1" w:rsidRPr="001874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</w:t>
      </w:r>
      <w:r w:rsidRPr="001874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Жанна</w:t>
      </w:r>
      <w:r w:rsidR="005A5AE1" w:rsidRPr="0018743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Корчинська</w:t>
      </w:r>
    </w:p>
    <w:p w14:paraId="3D578457" w14:textId="77777777" w:rsidR="00DE68C0" w:rsidRPr="0018743C" w:rsidRDefault="00DE68C0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</w:p>
    <w:p w14:paraId="62891D9E" w14:textId="6F33FDBC" w:rsidR="00517067" w:rsidRPr="0018743C" w:rsidRDefault="00BC4B44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i/>
          <w:iCs/>
          <w:sz w:val="24"/>
          <w:szCs w:val="24"/>
          <w:lang w:val="uk-UA"/>
        </w:rPr>
        <w:t>ДВНЗ “</w:t>
      </w:r>
      <w:r w:rsidR="00517067" w:rsidRPr="0018743C">
        <w:rPr>
          <w:rFonts w:ascii="Times New Roman" w:hAnsi="Times New Roman" w:cs="Times New Roman"/>
          <w:i/>
          <w:iCs/>
          <w:sz w:val="24"/>
          <w:szCs w:val="24"/>
          <w:lang w:val="uk-UA"/>
        </w:rPr>
        <w:t>Ужгородський національний університет</w:t>
      </w:r>
      <w:r w:rsidRPr="0018743C">
        <w:rPr>
          <w:rFonts w:ascii="Times New Roman" w:hAnsi="Times New Roman" w:cs="Times New Roman"/>
          <w:i/>
          <w:iCs/>
          <w:sz w:val="24"/>
          <w:szCs w:val="24"/>
          <w:lang w:val="uk-UA"/>
        </w:rPr>
        <w:t>”, м. Ужгород, Україна</w:t>
      </w:r>
    </w:p>
    <w:p w14:paraId="653484D3" w14:textId="77777777" w:rsidR="00DE68C0" w:rsidRPr="0018743C" w:rsidRDefault="00DE68C0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14:paraId="7626B6C7" w14:textId="27D2BF6E" w:rsidR="000D6589" w:rsidRPr="0018743C" w:rsidRDefault="00517067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Анотація: </w:t>
      </w:r>
      <w:r w:rsidR="000D6589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У статті </w:t>
      </w:r>
      <w:r w:rsidR="00BC5E35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охарактеризова</w:t>
      </w:r>
      <w:r w:rsidR="000D6589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но демографічні процеси </w:t>
      </w:r>
      <w:proofErr w:type="spellStart"/>
      <w:r w:rsidR="000D6589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Іршавщини</w:t>
      </w:r>
      <w:proofErr w:type="spellEnd"/>
      <w:r w:rsidR="000D6589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в межах періоду 1991-2020 рр. </w:t>
      </w:r>
      <w:r w:rsidR="00C4140F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Проаналізовано сучасні статистичні дані щодо населення </w:t>
      </w:r>
      <w:proofErr w:type="spellStart"/>
      <w:r w:rsidR="00C4140F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Ірщавщини</w:t>
      </w:r>
      <w:proofErr w:type="spellEnd"/>
      <w:r w:rsidR="00C4140F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за 30-тирічний період. Р</w:t>
      </w:r>
      <w:r w:rsidR="00A03E0D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озглянуто основні </w:t>
      </w:r>
      <w:r w:rsidR="00C4140F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де</w:t>
      </w:r>
      <w:r w:rsidR="001B64EF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м</w:t>
      </w:r>
      <w:r w:rsidR="00C4140F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ографічні </w:t>
      </w:r>
      <w:r w:rsidR="00A03E0D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проблеми.</w:t>
      </w:r>
    </w:p>
    <w:p w14:paraId="0DDEA9A7" w14:textId="273AD111" w:rsidR="00A03E0D" w:rsidRPr="0018743C" w:rsidRDefault="00A03E0D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Ключові слова: </w:t>
      </w:r>
      <w:r w:rsidR="00EE72B7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населення </w:t>
      </w:r>
      <w:proofErr w:type="spellStart"/>
      <w:r w:rsidR="00EE72B7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Іршавщини</w:t>
      </w:r>
      <w:proofErr w:type="spellEnd"/>
      <w:r w:rsidR="00EE72B7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, </w:t>
      </w:r>
      <w:r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чисельність населення, </w:t>
      </w:r>
      <w:r w:rsidR="00EC32F4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наявне населення, </w:t>
      </w:r>
      <w:r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природний </w:t>
      </w:r>
      <w:r w:rsidR="00EE72B7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приріст н</w:t>
      </w:r>
      <w:r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аселення</w:t>
      </w:r>
      <w:r w:rsidR="00EE72B7"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, народжуваність, смертність, міграції</w:t>
      </w:r>
      <w:r w:rsidRPr="0018743C">
        <w:rPr>
          <w:rFonts w:ascii="Times New Roman" w:hAnsi="Times New Roman" w:cs="Times New Roman"/>
          <w:i/>
          <w:iCs/>
          <w:sz w:val="20"/>
          <w:szCs w:val="20"/>
          <w:lang w:val="uk-UA"/>
        </w:rPr>
        <w:t>.</w:t>
      </w:r>
    </w:p>
    <w:p w14:paraId="34304D23" w14:textId="77777777" w:rsidR="00DB3CCD" w:rsidRPr="0018743C" w:rsidRDefault="00DB3CCD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14:paraId="668BE01F" w14:textId="5BBB95E2" w:rsidR="004A5815" w:rsidRPr="0018743C" w:rsidRDefault="004A5815" w:rsidP="003176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</w:pPr>
      <w:r w:rsidRPr="0018743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  <w:t>CHARACTERISTICS OF DEMOGRAPHIC PROCESSES IN IRSHAV REGION FOR 1991-2020 Years</w:t>
      </w:r>
    </w:p>
    <w:p w14:paraId="4671F351" w14:textId="77777777" w:rsidR="00DE68C0" w:rsidRPr="0018743C" w:rsidRDefault="00DE68C0" w:rsidP="003176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-US" w:eastAsia="ru-RU"/>
        </w:rPr>
      </w:pPr>
    </w:p>
    <w:p w14:paraId="35CB7C72" w14:textId="2139A8FE" w:rsidR="004A5815" w:rsidRPr="0018743C" w:rsidRDefault="004A5815" w:rsidP="003176A0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Sn</w:t>
      </w:r>
      <w:r w:rsidR="00F124E6"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zhanna</w:t>
      </w:r>
      <w:proofErr w:type="spellEnd"/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Kaptsosh</w:t>
      </w:r>
      <w:proofErr w:type="spellEnd"/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557A24"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Zhanna</w:t>
      </w:r>
      <w:proofErr w:type="spellEnd"/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8743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Korchynska</w:t>
      </w:r>
      <w:proofErr w:type="spellEnd"/>
    </w:p>
    <w:p w14:paraId="3C14E42D" w14:textId="77777777" w:rsidR="00DE68C0" w:rsidRPr="0018743C" w:rsidRDefault="00DE68C0" w:rsidP="003176A0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2D9A8A1" w14:textId="2F415E24" w:rsidR="008F24B2" w:rsidRPr="0018743C" w:rsidRDefault="008F24B2" w:rsidP="003176A0">
      <w:pPr>
        <w:pStyle w:val="HTML"/>
        <w:shd w:val="clear" w:color="auto" w:fill="F8F9FA"/>
        <w:jc w:val="center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18743C">
        <w:rPr>
          <w:rStyle w:val="y2iqfc"/>
          <w:rFonts w:ascii="Times New Roman" w:hAnsi="Times New Roman" w:cs="Times New Roman"/>
          <w:sz w:val="24"/>
          <w:szCs w:val="24"/>
          <w:lang w:val="en-US"/>
        </w:rPr>
        <w:t>State University “</w:t>
      </w:r>
      <w:proofErr w:type="spellStart"/>
      <w:r w:rsidR="004A5815" w:rsidRPr="0018743C">
        <w:rPr>
          <w:rStyle w:val="y2iqfc"/>
          <w:rFonts w:ascii="Times New Roman" w:hAnsi="Times New Roman" w:cs="Times New Roman"/>
          <w:sz w:val="24"/>
          <w:szCs w:val="24"/>
          <w:lang w:val="en-US"/>
        </w:rPr>
        <w:t>Uz</w:t>
      </w:r>
      <w:r w:rsidRPr="0018743C">
        <w:rPr>
          <w:rStyle w:val="y2iqfc"/>
          <w:rFonts w:ascii="Times New Roman" w:hAnsi="Times New Roman" w:cs="Times New Roman"/>
          <w:sz w:val="24"/>
          <w:szCs w:val="24"/>
          <w:lang w:val="en-US"/>
        </w:rPr>
        <w:t>h</w:t>
      </w:r>
      <w:r w:rsidR="004A5815" w:rsidRPr="0018743C">
        <w:rPr>
          <w:rStyle w:val="y2iqfc"/>
          <w:rFonts w:ascii="Times New Roman" w:hAnsi="Times New Roman" w:cs="Times New Roman"/>
          <w:sz w:val="24"/>
          <w:szCs w:val="24"/>
          <w:lang w:val="en-US"/>
        </w:rPr>
        <w:t>horod</w:t>
      </w:r>
      <w:proofErr w:type="spellEnd"/>
      <w:r w:rsidR="004A5815" w:rsidRPr="0018743C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National University</w:t>
      </w:r>
      <w:r w:rsidRPr="0018743C">
        <w:rPr>
          <w:rStyle w:val="y2iqfc"/>
          <w:rFonts w:ascii="Times New Roman" w:hAnsi="Times New Roman" w:cs="Times New Roman"/>
          <w:sz w:val="24"/>
          <w:szCs w:val="24"/>
          <w:lang w:val="en-US"/>
        </w:rPr>
        <w:t>”,</w:t>
      </w:r>
      <w:r w:rsidRPr="0018743C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proofErr w:type="spellStart"/>
      <w:r w:rsidRPr="0018743C">
        <w:rPr>
          <w:rFonts w:ascii="Times New Roman" w:hAnsi="Times New Roman" w:cs="Times New Roman"/>
          <w:color w:val="202124"/>
          <w:sz w:val="24"/>
          <w:szCs w:val="24"/>
          <w:lang w:val="en-US"/>
        </w:rPr>
        <w:t>Uzhhorod</w:t>
      </w:r>
      <w:proofErr w:type="spellEnd"/>
      <w:r w:rsidRPr="0018743C">
        <w:rPr>
          <w:rFonts w:ascii="Times New Roman" w:hAnsi="Times New Roman" w:cs="Times New Roman"/>
          <w:color w:val="202124"/>
          <w:sz w:val="24"/>
          <w:szCs w:val="24"/>
          <w:lang w:val="en-US"/>
        </w:rPr>
        <w:t>, Ukraine</w:t>
      </w:r>
    </w:p>
    <w:p w14:paraId="3A607372" w14:textId="77777777" w:rsidR="00DE68C0" w:rsidRPr="0018743C" w:rsidRDefault="00DE68C0" w:rsidP="003176A0">
      <w:pPr>
        <w:pStyle w:val="HTML"/>
        <w:shd w:val="clear" w:color="auto" w:fill="F8F9FA"/>
        <w:jc w:val="center"/>
        <w:rPr>
          <w:rFonts w:ascii="Times New Roman" w:hAnsi="Times New Roman" w:cs="Times New Roman"/>
          <w:lang w:val="en-US"/>
        </w:rPr>
      </w:pPr>
    </w:p>
    <w:p w14:paraId="10805DBB" w14:textId="6EC7534A" w:rsidR="004A5815" w:rsidRPr="0018743C" w:rsidRDefault="004A5815" w:rsidP="003176A0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lang w:val="en-US"/>
        </w:rPr>
      </w:pPr>
      <w:r w:rsidRPr="0018743C">
        <w:rPr>
          <w:rStyle w:val="y2iqfc"/>
          <w:rFonts w:ascii="Times New Roman" w:hAnsi="Times New Roman" w:cs="Times New Roman"/>
          <w:lang w:val="en-US"/>
        </w:rPr>
        <w:t xml:space="preserve">Abstract: The article describes the demographic processes of </w:t>
      </w:r>
      <w:proofErr w:type="spellStart"/>
      <w:r w:rsidRPr="0018743C">
        <w:rPr>
          <w:rStyle w:val="y2iqfc"/>
          <w:rFonts w:ascii="Times New Roman" w:hAnsi="Times New Roman" w:cs="Times New Roman"/>
          <w:lang w:val="en-US"/>
        </w:rPr>
        <w:t>Irsha</w:t>
      </w:r>
      <w:r w:rsidR="0041046C" w:rsidRPr="0018743C">
        <w:rPr>
          <w:rStyle w:val="y2iqfc"/>
          <w:rFonts w:ascii="Times New Roman" w:hAnsi="Times New Roman" w:cs="Times New Roman"/>
          <w:lang w:val="en-US"/>
        </w:rPr>
        <w:t>v</w:t>
      </w:r>
      <w:proofErr w:type="spellEnd"/>
      <w:r w:rsidRPr="0018743C">
        <w:rPr>
          <w:rStyle w:val="y2iqfc"/>
          <w:rFonts w:ascii="Times New Roman" w:hAnsi="Times New Roman" w:cs="Times New Roman"/>
          <w:lang w:val="en-US"/>
        </w:rPr>
        <w:t xml:space="preserve"> region within the period 1991-2020. Modern statistical data on the population of </w:t>
      </w:r>
      <w:proofErr w:type="spellStart"/>
      <w:r w:rsidRPr="0018743C">
        <w:rPr>
          <w:rStyle w:val="y2iqfc"/>
          <w:rFonts w:ascii="Times New Roman" w:hAnsi="Times New Roman" w:cs="Times New Roman"/>
          <w:lang w:val="en-US"/>
        </w:rPr>
        <w:t>Irshav</w:t>
      </w:r>
      <w:proofErr w:type="spellEnd"/>
      <w:r w:rsidRPr="0018743C">
        <w:rPr>
          <w:rStyle w:val="y2iqfc"/>
          <w:rFonts w:ascii="Times New Roman" w:hAnsi="Times New Roman" w:cs="Times New Roman"/>
          <w:lang w:val="en-US"/>
        </w:rPr>
        <w:t xml:space="preserve"> region over a 30-year period is analyzed. The main demographic problems are considered</w:t>
      </w:r>
    </w:p>
    <w:p w14:paraId="6BE37DCB" w14:textId="55D42549" w:rsidR="004A5815" w:rsidRPr="0018743C" w:rsidRDefault="004A5815" w:rsidP="003176A0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sz w:val="42"/>
          <w:szCs w:val="42"/>
          <w:lang w:val="en-US"/>
        </w:rPr>
      </w:pPr>
      <w:r w:rsidRPr="0018743C">
        <w:rPr>
          <w:rStyle w:val="y2iqfc"/>
          <w:rFonts w:ascii="Times New Roman" w:hAnsi="Times New Roman" w:cs="Times New Roman"/>
          <w:lang w:val="en-US"/>
        </w:rPr>
        <w:t xml:space="preserve">Key words: population of </w:t>
      </w:r>
      <w:proofErr w:type="spellStart"/>
      <w:r w:rsidRPr="0018743C">
        <w:rPr>
          <w:rStyle w:val="y2iqfc"/>
          <w:rFonts w:ascii="Times New Roman" w:hAnsi="Times New Roman" w:cs="Times New Roman"/>
          <w:lang w:val="en-US"/>
        </w:rPr>
        <w:t>Irshavshchyna</w:t>
      </w:r>
      <w:proofErr w:type="spellEnd"/>
      <w:r w:rsidRPr="0018743C">
        <w:rPr>
          <w:rStyle w:val="y2iqfc"/>
          <w:rFonts w:ascii="Times New Roman" w:hAnsi="Times New Roman" w:cs="Times New Roman"/>
          <w:lang w:val="en-US"/>
        </w:rPr>
        <w:t>, population size, existing population, natural population growth, birth rate, death rate, migrations.</w:t>
      </w:r>
    </w:p>
    <w:p w14:paraId="0049E56B" w14:textId="2DF2EE19" w:rsidR="00584CD8" w:rsidRPr="0018743C" w:rsidRDefault="00584CD8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BA4FFB6" w14:textId="52382B83" w:rsidR="00584CD8" w:rsidRPr="0018743C" w:rsidRDefault="0032749A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Вступ</w:t>
      </w:r>
      <w:r w:rsidR="00584CD8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584CD8" w:rsidRPr="0018743C">
        <w:rPr>
          <w:rFonts w:ascii="Times New Roman" w:hAnsi="Times New Roman" w:cs="Times New Roman"/>
          <w:sz w:val="24"/>
          <w:szCs w:val="24"/>
          <w:lang w:val="uk-UA"/>
        </w:rPr>
        <w:t>Одним з перспективних регіонів Закарпатської області, що має центральне географічне положення та хорошу транспортну розв’язку</w:t>
      </w:r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proofErr w:type="spellStart"/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>Іршавщина</w:t>
      </w:r>
      <w:proofErr w:type="spellEnd"/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A79D4" w:rsidRPr="0018743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риродно-ресурсний потенціал та вигідне розміщення є хорошими передумовами для розвитку даного регіону в соціально-економічному відношенні. Але попри це, демографічна ситуація </w:t>
      </w:r>
      <w:proofErr w:type="spellStart"/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="00D42990">
        <w:rPr>
          <w:rFonts w:ascii="Times New Roman" w:hAnsi="Times New Roman" w:cs="Times New Roman"/>
          <w:sz w:val="24"/>
          <w:szCs w:val="24"/>
          <w:lang w:val="uk-UA"/>
        </w:rPr>
        <w:t xml:space="preserve"> в останні роки</w:t>
      </w:r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зазнає значних колива</w:t>
      </w:r>
      <w:r w:rsidR="00E9262D" w:rsidRPr="0018743C">
        <w:rPr>
          <w:rFonts w:ascii="Times New Roman" w:hAnsi="Times New Roman" w:cs="Times New Roman"/>
          <w:sz w:val="24"/>
          <w:szCs w:val="24"/>
          <w:lang w:val="uk-UA"/>
        </w:rPr>
        <w:t>нь</w:t>
      </w:r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в кількісних значеннях щодо населення, що провокується міграційними процесами, економічною нестабільністю та </w:t>
      </w:r>
      <w:r w:rsidR="00D42990">
        <w:rPr>
          <w:rFonts w:ascii="Times New Roman" w:hAnsi="Times New Roman" w:cs="Times New Roman"/>
          <w:sz w:val="24"/>
          <w:szCs w:val="24"/>
          <w:lang w:val="uk-UA"/>
        </w:rPr>
        <w:t>війною в Україні</w:t>
      </w:r>
      <w:r w:rsidR="00377C5D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Тому вивчення та систематизація даних </w:t>
      </w:r>
      <w:r w:rsidR="00E9262D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по темі дослідження дасть змогу в майбутньому зробити порівняльну характеристику та аналіз демографічних показників </w:t>
      </w:r>
      <w:proofErr w:type="spellStart"/>
      <w:r w:rsidR="00E9262D"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="00BF12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262D" w:rsidRPr="0018743C">
        <w:rPr>
          <w:rFonts w:ascii="Times New Roman" w:hAnsi="Times New Roman" w:cs="Times New Roman"/>
          <w:sz w:val="24"/>
          <w:szCs w:val="24"/>
          <w:lang w:val="uk-UA"/>
        </w:rPr>
        <w:t>з цими ж показниками даного регіону, але вже в умовах децентралізації.</w:t>
      </w:r>
    </w:p>
    <w:p w14:paraId="13FFF079" w14:textId="0AC108C0" w:rsidR="00FA31E9" w:rsidRPr="0018743C" w:rsidRDefault="00FA31E9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дослідження.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Основною ціллю даної статті є </w:t>
      </w:r>
      <w:r w:rsidR="001B64EF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дослідити особливості демографічних процесів Іршавщини за тридцятирічний період, проаналізувавши сучасні статистичні дані щодо населення Іршавщини за 1991-2020 роки</w:t>
      </w:r>
      <w:r w:rsidR="001B64EF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А також вияв</w:t>
      </w:r>
      <w:r w:rsidR="001B64EF" w:rsidRPr="0018743C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основн</w:t>
      </w:r>
      <w:r w:rsidR="001B64EF" w:rsidRPr="0018743C">
        <w:rPr>
          <w:rFonts w:ascii="Times New Roman" w:hAnsi="Times New Roman" w:cs="Times New Roman"/>
          <w:sz w:val="24"/>
          <w:szCs w:val="24"/>
          <w:lang w:val="uk-UA"/>
        </w:rPr>
        <w:t>і демографічні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проблем</w:t>
      </w:r>
      <w:r w:rsidR="001B64EF" w:rsidRPr="0018743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B64EF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їх причини та можливі наслідки, що пов’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яз</w:t>
      </w:r>
      <w:r w:rsidR="001B64EF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ані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з міграцією, безробіттям</w:t>
      </w:r>
      <w:r w:rsidR="006A58B0" w:rsidRPr="001874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соціально-економічними негараздами</w:t>
      </w:r>
      <w:r w:rsidR="006A58B0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та скороченням чисельності населення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032AE9" w14:textId="0A6C64AE" w:rsidR="00D71FAC" w:rsidRPr="0018743C" w:rsidRDefault="006A58B0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Виклад основного матеріал</w:t>
      </w:r>
      <w:r w:rsidR="0032749A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731879" w:rsidRPr="0018743C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731879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статистичн</w:t>
      </w:r>
      <w:r w:rsidR="00731879" w:rsidRPr="0018743C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дан</w:t>
      </w:r>
      <w:r w:rsidR="00731879" w:rsidRPr="0018743C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управління статистики в Закарпатській області</w:t>
      </w:r>
      <w:r w:rsidR="00731879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станом на 1 січня 202</w:t>
      </w:r>
      <w:r w:rsidR="000D062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року чисельність наявного населення </w:t>
      </w:r>
      <w:proofErr w:type="spellStart"/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становила – 100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0ED9" w:rsidRPr="0018743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7D06" w:rsidRPr="001874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70ED9" w:rsidRPr="0018743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особи, а постійного – 100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0ED9" w:rsidRPr="0018743C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283EE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70ED9" w:rsidRPr="0018743C">
        <w:rPr>
          <w:rFonts w:ascii="Times New Roman" w:hAnsi="Times New Roman" w:cs="Times New Roman"/>
          <w:sz w:val="24"/>
          <w:szCs w:val="24"/>
          <w:lang w:val="uk-UA"/>
        </w:rPr>
        <w:t>, с. 31, 35</w:t>
      </w:r>
      <w:r w:rsidR="00283EEC" w:rsidRPr="0018743C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45136" w:rsidRPr="0018743C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астка населення станови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8% від загальної чисельност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і населення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Закарпатській 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області. 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Якщо порівняти 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чисельн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станом на 1 січня 2020 року</w:t>
      </w:r>
      <w:r w:rsidR="00E47488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по районах області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proofErr w:type="spellStart"/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Іршавщина</w:t>
      </w:r>
      <w:proofErr w:type="spellEnd"/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займа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0ED9" w:rsidRPr="0018743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місце</w:t>
      </w:r>
      <w:r w:rsidR="00FD1EC7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серед 13-ти колишніх адміністративних районів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>, після Тячівського та Виноградівського районів, населення яких у той час становило 175 і 125,8 тис. осіб відповідно</w:t>
      </w:r>
      <w:r w:rsidR="00283EE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520F" w:rsidRPr="0018743C">
        <w:rPr>
          <w:rFonts w:ascii="Times New Roman" w:hAnsi="Times New Roman" w:cs="Times New Roman"/>
          <w:sz w:val="24"/>
          <w:szCs w:val="24"/>
          <w:lang w:val="uk-UA"/>
        </w:rPr>
        <w:t>, с. 31</w:t>
      </w:r>
      <w:r w:rsidR="00283EEC" w:rsidRPr="0018743C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Такі показники є досить непоганими, оскільки за </w:t>
      </w:r>
      <w:r w:rsidR="00BC4A71" w:rsidRPr="0018743C">
        <w:rPr>
          <w:rFonts w:ascii="Times New Roman" w:hAnsi="Times New Roman" w:cs="Times New Roman"/>
          <w:sz w:val="24"/>
          <w:szCs w:val="24"/>
          <w:lang w:val="uk-UA"/>
        </w:rPr>
        <w:t>площею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досліджуваний регіон займа</w:t>
      </w:r>
      <w:r w:rsidR="00FD1EC7" w:rsidRPr="0018743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71FA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тільки п’яте місце.</w:t>
      </w:r>
    </w:p>
    <w:p w14:paraId="602B64E6" w14:textId="3246EB78" w:rsidR="008039BD" w:rsidRPr="0018743C" w:rsidRDefault="00D71FAC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Якщо ж розглядати динаміку чисельності наявного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за останні три десятиліття (рис. 1), то можна виявити її циклічність та залежність від соціально-економічного </w:t>
      </w:r>
      <w:r w:rsidR="00FE3BBF" w:rsidRPr="0018743C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області та країни в цілому. </w:t>
      </w:r>
      <w:r w:rsidR="003D548A" w:rsidRPr="0018743C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дослідж</w:t>
      </w:r>
      <w:r w:rsidR="003D548A" w:rsidRPr="0018743C">
        <w:rPr>
          <w:rFonts w:ascii="Times New Roman" w:hAnsi="Times New Roman" w:cs="Times New Roman"/>
          <w:sz w:val="24"/>
          <w:szCs w:val="24"/>
          <w:lang w:val="uk-UA"/>
        </w:rPr>
        <w:t>уваний період спостерігалися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два піки максимальних </w:t>
      </w:r>
      <w:r w:rsidR="00FE3BBF" w:rsidRPr="0018743C">
        <w:rPr>
          <w:rFonts w:ascii="Times New Roman" w:hAnsi="Times New Roman" w:cs="Times New Roman"/>
          <w:sz w:val="24"/>
          <w:szCs w:val="24"/>
          <w:lang w:val="uk-UA"/>
        </w:rPr>
        <w:t>показників</w:t>
      </w:r>
      <w:r w:rsidR="003D548A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чисельності населення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– у 2000 та 2017 році</w:t>
      </w:r>
      <w:r w:rsidR="00FD1EC7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(101,2 та 100,6 тис. осіб </w:t>
      </w:r>
      <w:r w:rsidR="00FD1EC7" w:rsidRPr="0018743C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відповідно)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4114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період</w:t>
      </w:r>
      <w:r w:rsidR="0074114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1991-200</w:t>
      </w:r>
      <w:r w:rsidR="005A08F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рр.</w:t>
      </w:r>
      <w:r w:rsidR="00581C4A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144">
        <w:rPr>
          <w:rFonts w:ascii="Times New Roman" w:hAnsi="Times New Roman" w:cs="Times New Roman"/>
          <w:sz w:val="24"/>
          <w:szCs w:val="24"/>
          <w:lang w:val="uk-UA"/>
        </w:rPr>
        <w:t>характерною була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тенденція зростанн</w:t>
      </w:r>
      <w:r w:rsidR="00FE3BBF" w:rsidRPr="0018743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</w:t>
      </w:r>
      <w:r w:rsidR="007172E3">
        <w:rPr>
          <w:rFonts w:ascii="Times New Roman" w:hAnsi="Times New Roman" w:cs="Times New Roman"/>
          <w:sz w:val="24"/>
          <w:szCs w:val="24"/>
          <w:lang w:val="uk-UA"/>
        </w:rPr>
        <w:t xml:space="preserve"> (з 97,9 до 101,2 тис. осіб)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. Починаючи з 2001 року і по 200</w:t>
      </w:r>
      <w:r w:rsidR="005A08F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рік чисельність населення поступово скорочува</w:t>
      </w:r>
      <w:r w:rsidR="007172E3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сь</w:t>
      </w:r>
      <w:r w:rsidR="001325DE">
        <w:rPr>
          <w:rFonts w:ascii="Times New Roman" w:hAnsi="Times New Roman" w:cs="Times New Roman"/>
          <w:sz w:val="24"/>
          <w:szCs w:val="24"/>
          <w:lang w:val="uk-UA"/>
        </w:rPr>
        <w:t xml:space="preserve"> до 98,5 тис. осіб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5D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в середньому на 385 </w:t>
      </w:r>
      <w:r w:rsidR="00AA791D" w:rsidRPr="0018743C">
        <w:rPr>
          <w:rFonts w:ascii="Times New Roman" w:hAnsi="Times New Roman" w:cs="Times New Roman"/>
          <w:sz w:val="24"/>
          <w:szCs w:val="24"/>
          <w:lang w:val="uk-UA"/>
        </w:rPr>
        <w:t>осіб/рік</w:t>
      </w:r>
      <w:r w:rsidR="001325D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81C4A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Причиною стала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фінансово-економічн</w:t>
      </w:r>
      <w:r w:rsidR="00581C4A" w:rsidRPr="001874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криз</w:t>
      </w:r>
      <w:r w:rsidR="00581C4A" w:rsidRPr="001874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в країні.</w:t>
      </w:r>
      <w:r w:rsidR="004544E1" w:rsidRPr="0018743C">
        <w:rPr>
          <w:sz w:val="28"/>
          <w:szCs w:val="28"/>
          <w:lang w:val="uk-UA"/>
        </w:rPr>
        <w:t xml:space="preserve"> 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>Ситуація почала покращуватись, коли в державі запровадили нову демографічну політику у вигляді фінансової допомого при народженні дитини. Такі заходи сприяли зростанню чисельності населення за рахунок збільшення показників народжуваності</w:t>
      </w:r>
      <w:r w:rsidR="00283EE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5D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06AD5" w:rsidRPr="0018743C">
        <w:rPr>
          <w:rFonts w:ascii="Times New Roman" w:hAnsi="Times New Roman" w:cs="Times New Roman"/>
          <w:sz w:val="24"/>
          <w:szCs w:val="24"/>
          <w:lang w:val="uk-UA"/>
        </w:rPr>
        <w:t>рис. 2</w:t>
      </w:r>
      <w:r w:rsidR="001325D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період 200</w:t>
      </w:r>
      <w:r w:rsidR="005A08F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5A08F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рр. кількість населення </w:t>
      </w:r>
      <w:proofErr w:type="spellStart"/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>Іршавщин</w:t>
      </w:r>
      <w:r w:rsidR="00BF5627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зросла </w:t>
      </w:r>
      <w:r w:rsidR="00C01662">
        <w:rPr>
          <w:rFonts w:ascii="Times New Roman" w:hAnsi="Times New Roman" w:cs="Times New Roman"/>
          <w:sz w:val="24"/>
          <w:szCs w:val="24"/>
          <w:lang w:val="uk-UA"/>
        </w:rPr>
        <w:t>до 100,6 тис. осіб (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>на 2,1 тис. осіб</w:t>
      </w:r>
      <w:r w:rsidR="00C0166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C782E" w:rsidRPr="001874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Але 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почи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>наючи з 201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по 2020 рр.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тенденція 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є негативною, </w:t>
      </w:r>
      <w:r w:rsidR="005A08F7">
        <w:rPr>
          <w:rFonts w:ascii="Times New Roman" w:hAnsi="Times New Roman" w:cs="Times New Roman"/>
          <w:sz w:val="24"/>
          <w:szCs w:val="24"/>
          <w:lang w:val="uk-UA"/>
        </w:rPr>
        <w:t>відбувало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ся скорочення наявного населення </w:t>
      </w:r>
      <w:proofErr w:type="spellStart"/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="000C782E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0D00">
        <w:rPr>
          <w:rFonts w:ascii="Times New Roman" w:hAnsi="Times New Roman" w:cs="Times New Roman"/>
          <w:sz w:val="24"/>
          <w:szCs w:val="24"/>
          <w:lang w:val="uk-UA"/>
        </w:rPr>
        <w:t>до 100 тис. осіб</w:t>
      </w:r>
      <w:r w:rsidR="00BF56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82E" w:rsidRPr="0018743C">
        <w:rPr>
          <w:rFonts w:ascii="Times New Roman" w:hAnsi="Times New Roman" w:cs="Times New Roman"/>
          <w:sz w:val="24"/>
          <w:szCs w:val="24"/>
          <w:lang w:val="uk-UA"/>
        </w:rPr>
        <w:t>[1, 2,</w:t>
      </w:r>
      <w:r w:rsidR="008D0D00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, 5</w:t>
      </w:r>
      <w:r w:rsidR="000C782E" w:rsidRPr="0018743C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. Це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спричинено рядом економічних, соціальних, </w:t>
      </w:r>
      <w:r w:rsidR="00BE44B9" w:rsidRPr="0018743C">
        <w:rPr>
          <w:rFonts w:ascii="Times New Roman" w:hAnsi="Times New Roman" w:cs="Times New Roman"/>
          <w:sz w:val="24"/>
          <w:szCs w:val="24"/>
          <w:lang w:val="uk-UA"/>
        </w:rPr>
        <w:t>політичних та військових</w:t>
      </w:r>
      <w:r w:rsidR="004544E1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факторів. </w:t>
      </w:r>
    </w:p>
    <w:p w14:paraId="20B2C322" w14:textId="2F2AF546" w:rsidR="00D71FAC" w:rsidRPr="0018743C" w:rsidRDefault="004544E1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Що стосується чисельності постійного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>, то спостеріг</w:t>
      </w:r>
      <w:r w:rsidR="000C782E" w:rsidRPr="0018743C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C782E" w:rsidRPr="0018743C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подібн</w:t>
      </w:r>
      <w:r w:rsidR="008039BD" w:rsidRPr="001874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тенденці</w:t>
      </w:r>
      <w:r w:rsidR="008039BD" w:rsidRPr="0018743C">
        <w:rPr>
          <w:rFonts w:ascii="Times New Roman" w:hAnsi="Times New Roman" w:cs="Times New Roman"/>
          <w:sz w:val="24"/>
          <w:szCs w:val="24"/>
          <w:lang w:val="uk-UA"/>
        </w:rPr>
        <w:t>ї в досліджувані роки</w:t>
      </w:r>
      <w:r w:rsidR="00E52B42" w:rsidRPr="001874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що і</w:t>
      </w:r>
      <w:r w:rsidR="00E52B42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з наявним населенням.</w:t>
      </w:r>
    </w:p>
    <w:p w14:paraId="0ED7EA8B" w14:textId="77777777" w:rsidR="00325166" w:rsidRPr="0018743C" w:rsidRDefault="00325166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807F3" w14:textId="4B533FB8" w:rsidR="00FC159A" w:rsidRPr="0018743C" w:rsidRDefault="00325166" w:rsidP="0031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noProof/>
          <w:lang w:val="uk-UA"/>
        </w:rPr>
        <w:drawing>
          <wp:inline distT="0" distB="0" distL="0" distR="0" wp14:anchorId="53C043EB" wp14:editId="7E9AA19B">
            <wp:extent cx="5940425" cy="3710940"/>
            <wp:effectExtent l="0" t="0" r="3175" b="381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55F37C9D-0AB2-431F-BB8D-CEA610D0C8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793453" w14:textId="6041D283" w:rsidR="00B80FC7" w:rsidRPr="0018743C" w:rsidRDefault="00B80FC7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Рисунок 1. Динаміка чисельності наявного населення </w:t>
      </w:r>
      <w:proofErr w:type="spellStart"/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Іршав</w:t>
      </w:r>
      <w:r w:rsidR="003A411D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щини</w:t>
      </w:r>
      <w:proofErr w:type="spellEnd"/>
      <w:r w:rsidR="003A411D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</w:t>
      </w: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1991-2020 рр.</w:t>
      </w:r>
      <w:r w:rsidR="006C41E1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C41E1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(побудовано автором станом на 1 січня 1992-2021 рр. за даними </w:t>
      </w:r>
      <w:r w:rsidR="00283EEC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[</w:t>
      </w:r>
      <w:r w:rsidR="00325166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1, 2, 4</w:t>
      </w:r>
      <w:r w:rsidR="000F002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, 5</w:t>
      </w:r>
      <w:r w:rsidR="00283EEC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]</w:t>
      </w:r>
      <w:r w:rsidR="006C41E1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283EEC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EF95553" w14:textId="77777777" w:rsidR="006059AD" w:rsidRPr="0018743C" w:rsidRDefault="006059AD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3903B65" w14:textId="743698E9" w:rsidR="00AA7EA6" w:rsidRPr="0018743C" w:rsidRDefault="00AA7EA6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36946948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Густота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1 січня 2021 року становила 105,9 осіб/</w:t>
      </w:r>
      <w:r w:rsidR="00A11DDB" w:rsidRPr="0018743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км</w:t>
      </w:r>
      <w:r w:rsidR="00A11DDB" w:rsidRPr="0018743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B6A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515">
        <w:rPr>
          <w:rFonts w:ascii="Times New Roman" w:hAnsi="Times New Roman" w:cs="Times New Roman"/>
          <w:sz w:val="24"/>
          <w:szCs w:val="24"/>
          <w:lang w:val="uk-UA"/>
        </w:rPr>
        <w:t>Вона є високою, що спричинено географічним положенням, рельєфом, кліматом, ріллею.</w:t>
      </w:r>
      <w:r w:rsidR="00275B85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72EB" w:rsidRPr="0018743C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3272EB" w:rsidRPr="001874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м показником в області після Виноградівського району (173,1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C57A02" w:rsidRPr="0018743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11DDB" w:rsidRPr="0018743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км</w:t>
      </w:r>
      <w:r w:rsidR="00A11DDB" w:rsidRPr="0018743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6474F" w:rsidRPr="0018743C">
        <w:rPr>
          <w:rFonts w:ascii="Times New Roman" w:hAnsi="Times New Roman" w:cs="Times New Roman"/>
          <w:sz w:val="24"/>
          <w:szCs w:val="24"/>
          <w:lang w:val="uk-UA"/>
        </w:rPr>
        <w:t>, с. 31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>].</w:t>
      </w:r>
      <w:bookmarkEnd w:id="1"/>
    </w:p>
    <w:p w14:paraId="5F436B87" w14:textId="34ED1224" w:rsidR="00143907" w:rsidRPr="0018743C" w:rsidRDefault="00F3289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Станом на 1 січня 202</w:t>
      </w:r>
      <w:r w:rsidR="00DE527A" w:rsidRPr="001874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року серед постійного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переважало сільське населення, яке складало 90,9 тис. осіб (91 %), міське – 9,2 осіб (9 %)</w:t>
      </w:r>
      <w:r w:rsidR="007E5515">
        <w:rPr>
          <w:rFonts w:ascii="Times New Roman" w:hAnsi="Times New Roman" w:cs="Times New Roman"/>
          <w:sz w:val="24"/>
          <w:szCs w:val="24"/>
          <w:lang w:val="uk-UA"/>
        </w:rPr>
        <w:t>. В Закарпатській області також переважає сільське населення</w:t>
      </w:r>
      <w:r w:rsidR="002D238E">
        <w:rPr>
          <w:rFonts w:ascii="Times New Roman" w:hAnsi="Times New Roman" w:cs="Times New Roman"/>
          <w:sz w:val="24"/>
          <w:szCs w:val="24"/>
          <w:lang w:val="uk-UA"/>
        </w:rPr>
        <w:t xml:space="preserve"> – 62,6 % 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30465" w:rsidRPr="0018743C">
        <w:rPr>
          <w:rFonts w:ascii="Times New Roman" w:hAnsi="Times New Roman" w:cs="Times New Roman"/>
          <w:sz w:val="24"/>
          <w:szCs w:val="24"/>
          <w:lang w:val="uk-UA"/>
        </w:rPr>
        <w:t>, с. 34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14:paraId="224F02A7" w14:textId="28663190" w:rsidR="002E245E" w:rsidRPr="0018743C" w:rsidRDefault="00AA7EA6" w:rsidP="003176A0">
      <w:pPr>
        <w:spacing w:after="0" w:line="240" w:lineRule="auto"/>
        <w:ind w:firstLine="567"/>
        <w:jc w:val="both"/>
        <w:rPr>
          <w:color w:val="222222"/>
          <w:sz w:val="24"/>
          <w:szCs w:val="24"/>
          <w:shd w:val="clear" w:color="auto" w:fill="FFFFFF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Щодо статевого складу населення </w:t>
      </w:r>
      <w:bookmarkStart w:id="2" w:name="_Hlk136964498"/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1 січня 202</w:t>
      </w:r>
      <w:r w:rsidR="00DE527A" w:rsidRPr="001874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року чисельність жінок становил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51 </w:t>
      </w:r>
      <w:r w:rsidR="00DE527A" w:rsidRPr="0018743C">
        <w:rPr>
          <w:rFonts w:ascii="Times New Roman" w:hAnsi="Times New Roman" w:cs="Times New Roman"/>
          <w:sz w:val="24"/>
          <w:szCs w:val="24"/>
          <w:lang w:val="uk-UA"/>
        </w:rPr>
        <w:t>664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осіб (52%) і переважа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чисельність</w:t>
      </w:r>
      <w:r w:rsidR="00DE527A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чоловіків – 48 482 (48%)</w:t>
      </w:r>
      <w:r w:rsidR="00240AF5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30465" w:rsidRPr="0018743C">
        <w:rPr>
          <w:rFonts w:ascii="Times New Roman" w:hAnsi="Times New Roman" w:cs="Times New Roman"/>
          <w:sz w:val="24"/>
          <w:szCs w:val="24"/>
          <w:lang w:val="uk-UA"/>
        </w:rPr>
        <w:t>, с. 3</w:t>
      </w:r>
      <w:r w:rsidR="00DE527A" w:rsidRPr="0018743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C7872" w:rsidRPr="0018743C">
        <w:rPr>
          <w:rFonts w:ascii="Times New Roman" w:hAnsi="Times New Roman" w:cs="Times New Roman"/>
          <w:sz w:val="24"/>
          <w:szCs w:val="24"/>
          <w:lang w:val="uk-UA"/>
        </w:rPr>
        <w:t>].</w:t>
      </w:r>
      <w:bookmarkEnd w:id="2"/>
    </w:p>
    <w:p w14:paraId="7FA9B871" w14:textId="51567A2F" w:rsidR="00CF576F" w:rsidRPr="0018743C" w:rsidRDefault="00CF576F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36953461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Щодо народжуваності серед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, то десятиліттями вона виділялася досить високими показниками, що говорило про міцність шлюбів та релігійність, достаток, традиції багатодітних сімей </w:t>
      </w:r>
      <w:r w:rsidR="0018743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серед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населення. Це впливало на формування додатного природного приросту </w:t>
      </w:r>
      <w:bookmarkEnd w:id="3"/>
      <w:r w:rsidRPr="0018743C">
        <w:rPr>
          <w:rFonts w:ascii="Times New Roman" w:hAnsi="Times New Roman" w:cs="Times New Roman"/>
          <w:sz w:val="24"/>
          <w:szCs w:val="24"/>
          <w:lang w:val="uk-UA"/>
        </w:rPr>
        <w:t>(рис. 3).</w:t>
      </w:r>
    </w:p>
    <w:p w14:paraId="7BFFBC66" w14:textId="77777777" w:rsidR="00573541" w:rsidRPr="0018743C" w:rsidRDefault="00573541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69DAD" w14:textId="4DFFD5D2" w:rsidR="00A633F4" w:rsidRPr="0018743C" w:rsidRDefault="009A72D3" w:rsidP="0031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noProof/>
          <w:color w:val="FF0000"/>
          <w:lang w:val="uk-UA"/>
        </w:rPr>
        <w:lastRenderedPageBreak/>
        <w:drawing>
          <wp:inline distT="0" distB="0" distL="0" distR="0" wp14:anchorId="6ABAC256" wp14:editId="62AE3A37">
            <wp:extent cx="6120130" cy="2789555"/>
            <wp:effectExtent l="0" t="0" r="13970" b="1079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1AD2BBC-A62B-41AF-9468-B8B263545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AF603B" w14:textId="326379FE" w:rsidR="001745EE" w:rsidRPr="0018743C" w:rsidRDefault="001745EE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Рисунок 2. Динаміка народжуваності та смертності населення </w:t>
      </w:r>
      <w:proofErr w:type="spellStart"/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Іршавського</w:t>
      </w:r>
      <w:proofErr w:type="spellEnd"/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району в періоді 1991-2020 рр.</w:t>
      </w:r>
      <w:r w:rsidR="006059AD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059AD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(побудовано автором за даними</w:t>
      </w:r>
      <w:r w:rsidR="00283EEC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[</w:t>
      </w:r>
      <w:r w:rsidR="00325166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1, 2, 4</w:t>
      </w:r>
      <w:r w:rsidR="000F002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, 5</w:t>
      </w:r>
      <w:r w:rsidR="00283EEC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]</w:t>
      </w:r>
      <w:r w:rsidR="006059AD"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5F8C9BC6" w14:textId="1CEB9F13" w:rsidR="006059AD" w:rsidRPr="0018743C" w:rsidRDefault="006059AD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EC7903" w14:textId="6AD0F4DD" w:rsidR="00633BF6" w:rsidRPr="0018743C" w:rsidRDefault="00573541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З рисунку 2 видно певну циклічність народжуваності. Але якщо узагальнити дані, починаючи з 1991 по 2020 рік, можна простежити кількісне скорочення чисельності новонароджених в середньому на 77 осіб щороку. </w:t>
      </w:r>
      <w:bookmarkStart w:id="4" w:name="_Hlk136953669"/>
      <w:r w:rsidRPr="0018743C">
        <w:rPr>
          <w:rFonts w:ascii="Times New Roman" w:hAnsi="Times New Roman" w:cs="Times New Roman"/>
          <w:sz w:val="24"/>
          <w:szCs w:val="24"/>
          <w:lang w:val="uk-UA"/>
        </w:rPr>
        <w:t>Максимальні піки народжуваності були в 1991, 2009, 2012-2013 рр. Мінімальне зниження народжу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ності </w:t>
      </w:r>
      <w:r w:rsidR="00633BF6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спостерігалося в 2001, 2019 роках</w:t>
      </w:r>
      <w:r w:rsidR="00633BF6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End w:id="4"/>
      <w:r w:rsidR="00633BF6" w:rsidRPr="0018743C">
        <w:rPr>
          <w:rFonts w:ascii="Times New Roman" w:hAnsi="Times New Roman" w:cs="Times New Roman"/>
          <w:sz w:val="24"/>
          <w:szCs w:val="24"/>
          <w:lang w:val="uk-UA"/>
        </w:rPr>
        <w:t>Останні ж роки, з 2014 по 2019 рр. – скорочення народжуваності в регіоні</w:t>
      </w:r>
      <w:r w:rsidR="00F80CF2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[1, 2, 4</w:t>
      </w:r>
      <w:r w:rsidR="000F0022">
        <w:rPr>
          <w:rFonts w:ascii="Times New Roman" w:hAnsi="Times New Roman" w:cs="Times New Roman"/>
          <w:sz w:val="24"/>
          <w:szCs w:val="24"/>
          <w:lang w:val="uk-UA"/>
        </w:rPr>
        <w:t>, 5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DA74A3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5" w:name="_Hlk136953685"/>
      <w:r w:rsidR="00DA74A3" w:rsidRPr="0018743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33BF6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2020 році </w:t>
      </w:r>
      <w:r w:rsidR="00DA74A3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народжуваність </w:t>
      </w:r>
      <w:r w:rsidR="00633BF6" w:rsidRPr="0018743C">
        <w:rPr>
          <w:rFonts w:ascii="Times New Roman" w:hAnsi="Times New Roman" w:cs="Times New Roman"/>
          <w:sz w:val="24"/>
          <w:szCs w:val="24"/>
          <w:lang w:val="uk-UA"/>
        </w:rPr>
        <w:t>становила 1111 осіб, з яких: 568 хлопчиків і 543 дівчат</w:t>
      </w:r>
      <w:r w:rsidR="00633BF6" w:rsidRPr="00187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="00633BF6" w:rsidRPr="001874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Тобто на 100 дівчат припадало 105 хлопчиків [</w:t>
      </w:r>
      <w:r w:rsidR="000F002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633BF6" w:rsidRPr="001874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с. 42</w:t>
      </w:r>
      <w:r w:rsidR="00633BF6" w:rsidRPr="00187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].</w:t>
      </w:r>
      <w:bookmarkEnd w:id="5"/>
    </w:p>
    <w:p w14:paraId="0063ADCA" w14:textId="0AAF90B2" w:rsidR="001745EE" w:rsidRPr="0018743C" w:rsidRDefault="001745E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Що стосується смертності </w:t>
      </w:r>
      <w:r w:rsidR="00295D6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295D6F">
        <w:rPr>
          <w:rFonts w:ascii="Times New Roman" w:hAnsi="Times New Roman" w:cs="Times New Roman"/>
          <w:sz w:val="24"/>
          <w:szCs w:val="24"/>
          <w:lang w:val="uk-UA"/>
        </w:rPr>
        <w:t>Іршавщині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r w:rsidR="00AB6D80" w:rsidRPr="0018743C">
        <w:rPr>
          <w:rFonts w:ascii="Times New Roman" w:hAnsi="Times New Roman" w:cs="Times New Roman"/>
          <w:sz w:val="24"/>
          <w:szCs w:val="24"/>
          <w:lang w:val="uk-UA"/>
        </w:rPr>
        <w:t>за останні роки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простежується відносна ст</w:t>
      </w:r>
      <w:r w:rsidR="00E52B42" w:rsidRPr="001874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більність по кількісних показниках, з незначним</w:t>
      </w:r>
      <w:r w:rsidR="00E52B42" w:rsidRPr="0018743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коливанням</w:t>
      </w:r>
      <w:r w:rsidR="00E52B42" w:rsidRPr="0018743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01F5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 рисунку</w:t>
      </w:r>
      <w:r w:rsidR="00B04D2E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EC01F5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видно, що в останні 2018-2020 роки смертність зростає і перевищує народжуваність.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У 2020 році померло </w:t>
      </w:r>
      <w:r w:rsidR="00087D78" w:rsidRPr="00155B08">
        <w:rPr>
          <w:rFonts w:ascii="Times New Roman" w:hAnsi="Times New Roman" w:cs="Times New Roman"/>
          <w:sz w:val="24"/>
          <w:szCs w:val="24"/>
          <w:highlight w:val="red"/>
          <w:lang w:val="uk-UA"/>
        </w:rPr>
        <w:t>1239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осіб </w:t>
      </w:r>
      <w:r w:rsidR="00087D78" w:rsidRPr="001874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</w:t>
      </w:r>
      <w:r w:rsidR="005442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087D78" w:rsidRPr="001874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с. 46</w:t>
      </w:r>
      <w:r w:rsidR="00087D78" w:rsidRPr="00187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].</w:t>
      </w:r>
    </w:p>
    <w:p w14:paraId="4D6F4D30" w14:textId="70A078B7" w:rsidR="00B04D2E" w:rsidRPr="0018743C" w:rsidRDefault="00B04D2E" w:rsidP="0031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Смертність населення</w:t>
      </w:r>
      <w:r w:rsidR="00F1223A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223A"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за основними причинами у 20</w:t>
      </w:r>
      <w:r w:rsidR="00F1223A" w:rsidRPr="0018743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bookmarkStart w:id="6" w:name="_Hlk136956239"/>
      <w:r w:rsidRPr="0018743C">
        <w:rPr>
          <w:rFonts w:ascii="Times New Roman" w:hAnsi="Times New Roman" w:cs="Times New Roman"/>
          <w:sz w:val="24"/>
          <w:szCs w:val="24"/>
          <w:lang w:val="uk-UA"/>
        </w:rPr>
        <w:t>(на 100 тис. наявного населення)</w:t>
      </w:r>
      <w:bookmarkEnd w:id="6"/>
      <w:r w:rsidR="00387E88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мало такий розподіл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1F0F9A3" w14:textId="61C64EAF" w:rsidR="00B04D2E" w:rsidRPr="0018743C" w:rsidRDefault="00B04D2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- хвороби системи кровообігу (7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осіб – 6</w:t>
      </w:r>
      <w:r w:rsidR="00387E88" w:rsidRPr="001874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%);</w:t>
      </w:r>
    </w:p>
    <w:p w14:paraId="54A5BBD4" w14:textId="79E082E2" w:rsidR="00B04D2E" w:rsidRPr="0018743C" w:rsidRDefault="00B04D2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- новоутворення (1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5 осіб – 13 %);</w:t>
      </w:r>
    </w:p>
    <w:p w14:paraId="75239725" w14:textId="26A2D411" w:rsidR="00B04D2E" w:rsidRPr="0018743C" w:rsidRDefault="00B04D2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- органів травлення (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особи – </w:t>
      </w:r>
      <w:r w:rsidR="00387E88" w:rsidRPr="0018743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%);</w:t>
      </w:r>
    </w:p>
    <w:p w14:paraId="68D29DFE" w14:textId="6C4F04DD" w:rsidR="00087D78" w:rsidRPr="0018743C" w:rsidRDefault="00087D78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- COVID – 19 (55 особи – </w:t>
      </w:r>
      <w:r w:rsidR="00387E88" w:rsidRPr="0018743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%);</w:t>
      </w:r>
    </w:p>
    <w:p w14:paraId="716A4C31" w14:textId="33BD2A14" w:rsidR="00B04D2E" w:rsidRPr="0018743C" w:rsidRDefault="00B04D2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- зовнішні причини смертності (5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осіб – 4 %);</w:t>
      </w:r>
    </w:p>
    <w:p w14:paraId="15F9E76B" w14:textId="2B396670" w:rsidR="00B04D2E" w:rsidRPr="0018743C" w:rsidRDefault="00B04D2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- органів дихання (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особи – </w:t>
      </w:r>
      <w:r w:rsidR="00387E88" w:rsidRPr="0018743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%);</w:t>
      </w:r>
    </w:p>
    <w:p w14:paraId="2F2FB1D7" w14:textId="42C939D0" w:rsidR="00B04D2E" w:rsidRPr="0018743C" w:rsidRDefault="00B04D2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- деяких інфекційних та паразитарних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87D78" w:rsidRPr="0018743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осіб – </w:t>
      </w:r>
      <w:r w:rsidR="00387E88" w:rsidRPr="001874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%);</w:t>
      </w:r>
    </w:p>
    <w:p w14:paraId="699D2A5E" w14:textId="3F89409E" w:rsidR="00B04D2E" w:rsidRPr="0018743C" w:rsidRDefault="00B04D2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>- інші причини – 1</w:t>
      </w:r>
      <w:r w:rsidR="009B4BBD" w:rsidRPr="0018743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9B4BBD" w:rsidRPr="001874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б (10%) </w:t>
      </w:r>
      <w:r w:rsidRPr="00187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[</w:t>
      </w:r>
      <w:r w:rsidR="005442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5</w:t>
      </w:r>
      <w:r w:rsidRPr="00187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с. 46].</w:t>
      </w:r>
    </w:p>
    <w:p w14:paraId="0205D19F" w14:textId="5680A3BD" w:rsidR="00F80CF2" w:rsidRPr="0018743C" w:rsidRDefault="00F80CF2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Hlk136958997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Природний приріст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довгий час виділявся додатними показниками, що було спричинено високою</w:t>
      </w:r>
      <w:r w:rsidR="00A37042">
        <w:rPr>
          <w:rFonts w:ascii="Times New Roman" w:hAnsi="Times New Roman" w:cs="Times New Roman"/>
          <w:sz w:val="24"/>
          <w:szCs w:val="24"/>
          <w:lang w:val="uk-UA"/>
        </w:rPr>
        <w:t xml:space="preserve"> народжуваністю та порівняно невисокою смертністю населення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. Якщо </w:t>
      </w:r>
      <w:r w:rsidRPr="0018743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uk-UA"/>
        </w:rPr>
        <w:t>глянути наочно рис. 3, то видно, що він</w:t>
      </w:r>
      <w:r w:rsidR="00B93FD7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також</w:t>
      </w:r>
      <w:r w:rsidR="001745EE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має вигляд циклу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, що пояснюється соціально-економічними коливаннями в області та країні. Максимальні піки </w:t>
      </w:r>
      <w:r w:rsidR="00684E37">
        <w:rPr>
          <w:rFonts w:ascii="Times New Roman" w:hAnsi="Times New Roman" w:cs="Times New Roman"/>
          <w:sz w:val="24"/>
          <w:szCs w:val="24"/>
          <w:lang w:val="uk-UA"/>
        </w:rPr>
        <w:t xml:space="preserve">показників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були в 1991 та 2012 роки, мінімальні – 2002 і 2020 рр. Період спаду природного приросту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спостерівся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в 1991 – 2002 рр. Покращення ситуації і зростання природного приросту регіону </w:t>
      </w:r>
      <w:r w:rsidR="0033134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 2003 по 2012 рр. </w:t>
      </w:r>
      <w:r w:rsidR="000A0E87" w:rsidRPr="001874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633F4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ле в останні роки досліджуваного періоду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(2012</w:t>
      </w:r>
      <w:r w:rsidR="00295D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5D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2020 рр.) </w:t>
      </w:r>
      <w:r w:rsidR="00295D6F">
        <w:rPr>
          <w:rFonts w:ascii="Times New Roman" w:hAnsi="Times New Roman" w:cs="Times New Roman"/>
          <w:sz w:val="24"/>
          <w:szCs w:val="24"/>
          <w:lang w:val="uk-UA"/>
        </w:rPr>
        <w:t>характеризуютьс</w:t>
      </w:r>
      <w:r w:rsidR="00A633F4" w:rsidRPr="0018743C">
        <w:rPr>
          <w:rFonts w:ascii="Times New Roman" w:hAnsi="Times New Roman" w:cs="Times New Roman"/>
          <w:sz w:val="24"/>
          <w:szCs w:val="24"/>
          <w:lang w:val="uk-UA"/>
        </w:rPr>
        <w:t>я скорочення</w:t>
      </w:r>
      <w:r w:rsidR="00295D6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633F4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природного приросту населення.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134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2019-2020 рр. – від’ємні показники, спровокован</w:t>
      </w:r>
      <w:r w:rsidR="00A370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зменшенням народжуваності та збільшення</w:t>
      </w:r>
      <w:r w:rsidR="00295D6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смертності серед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[1, 2, 4</w:t>
      </w:r>
      <w:r w:rsidR="005442FB">
        <w:rPr>
          <w:rFonts w:ascii="Times New Roman" w:hAnsi="Times New Roman" w:cs="Times New Roman"/>
          <w:sz w:val="24"/>
          <w:szCs w:val="24"/>
          <w:lang w:val="uk-UA"/>
        </w:rPr>
        <w:t>, 5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].</w:t>
      </w:r>
      <w:bookmarkEnd w:id="7"/>
    </w:p>
    <w:p w14:paraId="5BC7414A" w14:textId="5D1ECF5C" w:rsidR="001745EE" w:rsidRPr="0018743C" w:rsidRDefault="006622E1" w:rsidP="0031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18743C">
        <w:rPr>
          <w:noProof/>
          <w:lang w:val="uk-UA"/>
        </w:rPr>
        <w:lastRenderedPageBreak/>
        <w:drawing>
          <wp:inline distT="0" distB="0" distL="0" distR="0" wp14:anchorId="058DF101" wp14:editId="3E0C25C4">
            <wp:extent cx="5940425" cy="3474720"/>
            <wp:effectExtent l="0" t="0" r="3175" b="1143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F03B3DEB-3069-46A2-A7D2-C377CD152A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67CB7F" w14:textId="24281295" w:rsidR="001745EE" w:rsidRPr="0018743C" w:rsidRDefault="001745EE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Рисунок 3. Динаміка природного приросту населення Іршав</w:t>
      </w:r>
      <w:r w:rsidR="00284BDF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щини</w:t>
      </w:r>
      <w:r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в період 1991-2020 рр.</w:t>
      </w:r>
      <w:r w:rsidR="00283EEC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</w:t>
      </w:r>
      <w:r w:rsidR="006059AD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(побудовано автором за даними </w:t>
      </w:r>
      <w:r w:rsidR="00283EEC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[</w:t>
      </w:r>
      <w:r w:rsidR="00325166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1, </w:t>
      </w:r>
      <w:r w:rsidR="00283EEC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2,</w:t>
      </w:r>
      <w:r w:rsidR="00325166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4</w:t>
      </w:r>
      <w:r w:rsidR="005442FB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, 5</w:t>
      </w:r>
      <w:r w:rsidR="00283EEC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]</w:t>
      </w:r>
      <w:r w:rsidR="006059AD"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)</w:t>
      </w:r>
    </w:p>
    <w:p w14:paraId="6A160D73" w14:textId="77777777" w:rsidR="00E4158E" w:rsidRPr="0018743C" w:rsidRDefault="00E4158E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DB89FF7" w14:textId="538081ED" w:rsidR="00BD13D9" w:rsidRPr="0018743C" w:rsidRDefault="00E4158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Що стосується основних проблем, які пов’язан</w:t>
      </w:r>
      <w:r w:rsidR="0096203A">
        <w:rPr>
          <w:rFonts w:ascii="Times New Roman" w:hAnsi="Times New Roman" w:cs="Times New Roman"/>
          <w:noProof/>
          <w:sz w:val="24"/>
          <w:szCs w:val="24"/>
          <w:lang w:val="uk-UA"/>
        </w:rPr>
        <w:t>і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 демографічними процесами Іршавщин</w:t>
      </w:r>
      <w:r w:rsidR="0096203A">
        <w:rPr>
          <w:rFonts w:ascii="Times New Roman" w:hAnsi="Times New Roman" w:cs="Times New Roman"/>
          <w:noProof/>
          <w:sz w:val="24"/>
          <w:szCs w:val="24"/>
          <w:lang w:val="uk-UA"/>
        </w:rPr>
        <w:t>и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, то слід виділити міграці</w:t>
      </w:r>
      <w:r w:rsidR="00C91FDB">
        <w:rPr>
          <w:rFonts w:ascii="Times New Roman" w:hAnsi="Times New Roman" w:cs="Times New Roman"/>
          <w:noProof/>
          <w:sz w:val="24"/>
          <w:szCs w:val="24"/>
          <w:lang w:val="uk-UA"/>
        </w:rPr>
        <w:t>ю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та безробіття, які тісно взаємопов’язані. Внаслідок значного рівня безробіття, а це майже 8% населення працездатного віку люди шукають перспектив за кордоном. За оцінкою Головного управління статистики Закарпатської області станом на 2019 рік на одне вакантне місце штатного працівника припадало 19 зареєстрованих безробітніх</w:t>
      </w:r>
      <w:r w:rsidR="001D75DE">
        <w:rPr>
          <w:rFonts w:ascii="Times New Roman" w:hAnsi="Times New Roman" w:cs="Times New Roman"/>
          <w:noProof/>
          <w:sz w:val="24"/>
          <w:szCs w:val="24"/>
          <w:lang w:val="uk-UA"/>
        </w:rPr>
        <w:t>, що є досить високим показником. Кількість зареєстрованих безробітних осіб в Іршавщин</w:t>
      </w:r>
      <w:r w:rsidR="00E96981">
        <w:rPr>
          <w:rFonts w:ascii="Times New Roman" w:hAnsi="Times New Roman" w:cs="Times New Roman"/>
          <w:noProof/>
          <w:sz w:val="24"/>
          <w:szCs w:val="24"/>
          <w:lang w:val="uk-UA"/>
        </w:rPr>
        <w:t>і</w:t>
      </w:r>
      <w:r w:rsidR="001D75D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96981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="001D75D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2018 році складало 373 особи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[</w:t>
      </w:r>
      <w:r w:rsidR="005442FB">
        <w:rPr>
          <w:rFonts w:ascii="Times New Roman" w:hAnsi="Times New Roman" w:cs="Times New Roman"/>
          <w:noProof/>
          <w:sz w:val="24"/>
          <w:szCs w:val="24"/>
          <w:lang w:val="uk-UA"/>
        </w:rPr>
        <w:t>3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].</w:t>
      </w:r>
    </w:p>
    <w:p w14:paraId="334C3C53" w14:textId="65E8F1FF" w:rsidR="00404034" w:rsidRPr="0018743C" w:rsidRDefault="00E4158E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Під впливом багатьох факторів серед населення Іршавщини виникла </w:t>
      </w:r>
      <w:r w:rsidR="00E31D02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зовнішня 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трудова міграція. Вона спричинена соціально-економічними негараздами</w:t>
      </w:r>
      <w:r w:rsidR="00BD13D9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фінансовою нестабільністю</w:t>
      </w:r>
      <w:r w:rsidR="00BD13D9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та війною на Сході України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. Внаслідок цього люди працездатного віку виїзд</w:t>
      </w:r>
      <w:r w:rsidR="00E96981">
        <w:rPr>
          <w:rFonts w:ascii="Times New Roman" w:hAnsi="Times New Roman" w:cs="Times New Roman"/>
          <w:noProof/>
          <w:sz w:val="24"/>
          <w:szCs w:val="24"/>
          <w:lang w:val="uk-UA"/>
        </w:rPr>
        <w:t>или до 2022 року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до країн ЄС</w:t>
      </w:r>
      <w:r w:rsidR="00404034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04034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основному це Угорщина</w:t>
      </w:r>
      <w:r w:rsidR="00404034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Чехія і Словаччина у пошуках кращого заробітку та нерідко залишаються там назавжди. А в останні роки така тенденція поширилась не тільки на чоловіків, а й на жінок дітородного віку.</w:t>
      </w:r>
      <w:r w:rsidR="00381992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04034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Ще одним негативним фактором є те, що внаслідок міграції на Іршавщині виникає таке явище як «відтік розуму». Справа </w:t>
      </w:r>
      <w:r w:rsidR="00E96981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="00404034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тому</w:t>
      </w:r>
      <w:r w:rsidR="00E96981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 w:rsidR="00404034"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що за межі регіону виїзжджають кваліфіковані працівники певних галузей господарства, люди з вищою освітою та молодь, що спричиняє дефіцит трудових ресурсів в регіоні.</w:t>
      </w:r>
    </w:p>
    <w:p w14:paraId="585C08BE" w14:textId="267F44BE" w:rsidR="00E4158E" w:rsidRPr="0018743C" w:rsidRDefault="00E31D02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8" w:name="_Hlk136967004"/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Якщо проаналізувати показники міждержавної (зовнішньої) міграції Іршавщини, то вона мала від’ємні показники з 2003 по 2012 рр. Покращення соціально-економічної ситуації в Україні призвело до додаткного сальдо міграції серед населення Іршавщини в 2013-2014 рр. З 2015 по 2020 – знову стрімке міграці</w:t>
      </w:r>
      <w:r w:rsidR="008B0C15">
        <w:rPr>
          <w:rFonts w:ascii="Times New Roman" w:hAnsi="Times New Roman" w:cs="Times New Roman"/>
          <w:noProof/>
          <w:sz w:val="24"/>
          <w:szCs w:val="24"/>
          <w:lang w:val="uk-UA"/>
        </w:rPr>
        <w:t>й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не скорочення населення, яке стало від’ємним [1, 4</w:t>
      </w:r>
      <w:r w:rsidR="005442FB">
        <w:rPr>
          <w:rFonts w:ascii="Times New Roman" w:hAnsi="Times New Roman" w:cs="Times New Roman"/>
          <w:noProof/>
          <w:sz w:val="24"/>
          <w:szCs w:val="24"/>
          <w:lang w:val="uk-UA"/>
        </w:rPr>
        <w:t>, 5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].</w:t>
      </w:r>
      <w:bookmarkEnd w:id="8"/>
    </w:p>
    <w:p w14:paraId="6CA10C5D" w14:textId="2555803C" w:rsidR="00C23E4F" w:rsidRPr="0018743C" w:rsidRDefault="00C23E4F" w:rsidP="003176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743C">
        <w:rPr>
          <w:rFonts w:ascii="Times New Roman" w:hAnsi="Times New Roman"/>
          <w:sz w:val="24"/>
          <w:szCs w:val="24"/>
          <w:lang w:val="uk-UA"/>
        </w:rPr>
        <w:t xml:space="preserve">Якщо розглянути динаміку усіх потоків міграції населення </w:t>
      </w:r>
      <w:proofErr w:type="spellStart"/>
      <w:r w:rsidRPr="0018743C">
        <w:rPr>
          <w:rFonts w:ascii="Times New Roman" w:hAnsi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/>
          <w:sz w:val="24"/>
          <w:szCs w:val="24"/>
          <w:lang w:val="uk-UA"/>
        </w:rPr>
        <w:t xml:space="preserve">, то можна побачити, що в період 2002-2015 рр. сальдо міграції в районі було від’ємним (рис.4). Тобто спостерігалося міграційне скорочення населення. У досліджуваний період виділилися 2016 і 2017 роки, коли вперше за багато років спостерігається міграційний приріст у 57 і 10 ос. Тобто сальдо міграції було додатним, що було позитивним явищем. </w:t>
      </w:r>
      <w:bookmarkStart w:id="9" w:name="_Hlk136967456"/>
      <w:r w:rsidRPr="0018743C">
        <w:rPr>
          <w:rFonts w:ascii="Times New Roman" w:hAnsi="Times New Roman"/>
          <w:sz w:val="24"/>
          <w:szCs w:val="24"/>
          <w:lang w:val="uk-UA"/>
        </w:rPr>
        <w:t xml:space="preserve">Але в наступні 2018-2020 рр. знову спостерігаємо від’ємне сальдо міграції, що є негативною тенденцією. Адже міграційне скорочення разом з показником від’ємного природного приросту населення впливають на зменшення чисельності </w:t>
      </w:r>
      <w:r w:rsidR="00381992" w:rsidRPr="0018743C">
        <w:rPr>
          <w:rFonts w:ascii="Times New Roman" w:hAnsi="Times New Roman"/>
          <w:sz w:val="24"/>
          <w:szCs w:val="24"/>
          <w:lang w:val="uk-UA"/>
        </w:rPr>
        <w:t xml:space="preserve">(депопуляцію) </w:t>
      </w:r>
      <w:r w:rsidRPr="0018743C">
        <w:rPr>
          <w:rFonts w:ascii="Times New Roman" w:hAnsi="Times New Roman"/>
          <w:sz w:val="24"/>
          <w:szCs w:val="24"/>
          <w:lang w:val="uk-UA"/>
        </w:rPr>
        <w:t xml:space="preserve">населення </w:t>
      </w:r>
      <w:proofErr w:type="spellStart"/>
      <w:r w:rsidRPr="0018743C">
        <w:rPr>
          <w:rFonts w:ascii="Times New Roman" w:hAnsi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[1, 4</w:t>
      </w:r>
      <w:r w:rsidR="005442FB">
        <w:rPr>
          <w:rFonts w:ascii="Times New Roman" w:hAnsi="Times New Roman" w:cs="Times New Roman"/>
          <w:noProof/>
          <w:sz w:val="24"/>
          <w:szCs w:val="24"/>
          <w:lang w:val="uk-UA"/>
        </w:rPr>
        <w:t>, 5</w:t>
      </w: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].</w:t>
      </w:r>
      <w:bookmarkEnd w:id="9"/>
    </w:p>
    <w:p w14:paraId="27832CBC" w14:textId="003D4A95" w:rsidR="00E4158E" w:rsidRPr="0018743C" w:rsidRDefault="00E4158E" w:rsidP="003176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8743C">
        <w:rPr>
          <w:noProof/>
          <w:lang w:val="uk-UA"/>
        </w:rPr>
        <w:lastRenderedPageBreak/>
        <w:drawing>
          <wp:inline distT="0" distB="0" distL="0" distR="0" wp14:anchorId="4A8B6B20" wp14:editId="04CBDED1">
            <wp:extent cx="6120130" cy="2945130"/>
            <wp:effectExtent l="0" t="0" r="13970" b="762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5102554C-9920-4765-9453-ECF7394940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73DF48" w14:textId="587E369E" w:rsidR="00E4158E" w:rsidRPr="0018743C" w:rsidRDefault="00E4158E" w:rsidP="00317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Рисунок 4. Динаміка усіх потоків міграції населення Іршавщини в період 2002-2020 рр. (побудовано автором за даними [1, 4</w:t>
      </w:r>
      <w:r w:rsidR="005442FB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, 5</w:t>
      </w:r>
      <w:r w:rsidRPr="0018743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])</w:t>
      </w:r>
    </w:p>
    <w:p w14:paraId="36A3B087" w14:textId="0AE2906B" w:rsidR="00A633F4" w:rsidRPr="0018743C" w:rsidRDefault="00A633F4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C443BCE" w14:textId="77777777" w:rsidR="001A5593" w:rsidRPr="0018743C" w:rsidRDefault="001A5593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noProof/>
          <w:sz w:val="24"/>
          <w:szCs w:val="24"/>
          <w:lang w:val="uk-UA"/>
        </w:rPr>
        <w:t>Отже, проаналізувавши демографічні процеси Іршавщини можна підвести такі короткі підсумки:</w:t>
      </w:r>
    </w:p>
    <w:p w14:paraId="60B753BB" w14:textId="5D68BFBF" w:rsidR="001A5593" w:rsidRPr="0018743C" w:rsidRDefault="001A5593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1. Чисельність </w:t>
      </w:r>
      <w:r w:rsidR="00B82A86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наявного та постійного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зменшується з 2018 року</w:t>
      </w:r>
      <w:r w:rsidR="00B82A86" w:rsidRPr="0018743C">
        <w:rPr>
          <w:rFonts w:ascii="Times New Roman" w:hAnsi="Times New Roman" w:cs="Times New Roman"/>
          <w:sz w:val="24"/>
          <w:szCs w:val="24"/>
          <w:lang w:val="uk-UA"/>
        </w:rPr>
        <w:t>, що свідчить</w:t>
      </w:r>
      <w:r w:rsidR="0008079F" w:rsidRPr="0018743C">
        <w:rPr>
          <w:rFonts w:ascii="Times New Roman" w:hAnsi="Times New Roman" w:cs="Times New Roman"/>
          <w:sz w:val="24"/>
          <w:szCs w:val="24"/>
        </w:rPr>
        <w:t xml:space="preserve"> </w:t>
      </w:r>
      <w:r w:rsidR="00B82A86" w:rsidRPr="0018743C">
        <w:rPr>
          <w:rFonts w:ascii="Times New Roman" w:hAnsi="Times New Roman" w:cs="Times New Roman"/>
          <w:sz w:val="24"/>
          <w:szCs w:val="24"/>
          <w:lang w:val="uk-UA"/>
        </w:rPr>
        <w:t>про процеси депопуляції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4141D8C" w14:textId="77777777" w:rsidR="001A5593" w:rsidRPr="0018743C" w:rsidRDefault="001A5593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2. Народжуваність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скорочувалась з 2012 по 2019 роки;</w:t>
      </w:r>
    </w:p>
    <w:p w14:paraId="42BE8449" w14:textId="5F0324E4" w:rsidR="001A5593" w:rsidRPr="0018743C" w:rsidRDefault="001A5593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3. Смертність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має тенденцію до зростання за </w:t>
      </w:r>
      <w:r w:rsidR="00BD13D9" w:rsidRPr="0018743C">
        <w:rPr>
          <w:rFonts w:ascii="Times New Roman" w:hAnsi="Times New Roman" w:cs="Times New Roman"/>
          <w:sz w:val="24"/>
          <w:szCs w:val="24"/>
        </w:rPr>
        <w:t>2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018-2020 роки;</w:t>
      </w:r>
    </w:p>
    <w:p w14:paraId="21E5CB40" w14:textId="767164F9" w:rsidR="001A5593" w:rsidRPr="0018743C" w:rsidRDefault="001A5593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4. Природний приріст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скорочується з 2012 року, є від’ємним за 2019 і 2020 роки; </w:t>
      </w:r>
      <w:r w:rsidR="00F0489E" w:rsidRPr="0018743C">
        <w:rPr>
          <w:rFonts w:ascii="Times New Roman" w:hAnsi="Times New Roman" w:cs="Times New Roman"/>
          <w:sz w:val="24"/>
          <w:szCs w:val="24"/>
          <w:lang w:val="uk-UA"/>
        </w:rPr>
        <w:t>Хоча десятиліттями цей регіон виділявся додатним природним приростом.</w:t>
      </w:r>
    </w:p>
    <w:p w14:paraId="07B30ADA" w14:textId="2C6B44EF" w:rsidR="001A5593" w:rsidRPr="0018743C" w:rsidRDefault="001A5593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5. Усі потоки міграції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460C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E2E03" w:rsidRPr="0018743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єм</w:t>
      </w:r>
      <w:r w:rsidR="009E2E03" w:rsidRPr="0018743C">
        <w:rPr>
          <w:rFonts w:ascii="Times New Roman" w:hAnsi="Times New Roman" w:cs="Times New Roman"/>
          <w:sz w:val="24"/>
          <w:szCs w:val="24"/>
          <w:lang w:val="uk-UA"/>
        </w:rPr>
        <w:t>ними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з 2018 року.</w:t>
      </w:r>
    </w:p>
    <w:p w14:paraId="697BB645" w14:textId="1FE35988" w:rsidR="001A5593" w:rsidRPr="0018743C" w:rsidRDefault="001A5593" w:rsidP="0031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Головними демографічними проблемами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є негативні тенденції скорочення народжуваності, природного приросту населення, а також збільшення смертності т</w:t>
      </w:r>
      <w:r w:rsidR="006052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E2E03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>міграції, особливо закордон до 2020 року.</w:t>
      </w:r>
      <w:r w:rsidR="009E2E03"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3C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ці проблеми призведуть до ще більшої депопуляції населення </w:t>
      </w:r>
      <w:proofErr w:type="spellStart"/>
      <w:r w:rsidRPr="0018743C">
        <w:rPr>
          <w:rFonts w:ascii="Times New Roman" w:hAnsi="Times New Roman" w:cs="Times New Roman"/>
          <w:sz w:val="24"/>
          <w:szCs w:val="24"/>
          <w:lang w:val="uk-UA"/>
        </w:rPr>
        <w:t>Іршавщини</w:t>
      </w:r>
      <w:proofErr w:type="spellEnd"/>
      <w:r w:rsidRPr="001874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10EFD6" w14:textId="5F32C567" w:rsidR="001745EE" w:rsidRPr="0018743C" w:rsidRDefault="001745EE" w:rsidP="003176A0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ECE3AEB" w14:textId="0DE74C97" w:rsidR="00501069" w:rsidRPr="0018743C" w:rsidRDefault="00BA7E50" w:rsidP="003176A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43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 ВИКОРИСТАНИХ ДЖЕРЕЛ</w:t>
      </w:r>
    </w:p>
    <w:p w14:paraId="7D71F725" w14:textId="77777777" w:rsidR="007F52AB" w:rsidRPr="0018743C" w:rsidRDefault="007F52AB" w:rsidP="003176A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AD43B1" w14:textId="77777777" w:rsidR="00E71304" w:rsidRPr="00E71304" w:rsidRDefault="00E71304" w:rsidP="00407D0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10" w:name="_Hlk136944205"/>
      <w:r w:rsidRPr="00E713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Головне управління статистики у Закарпатській області. </w:t>
      </w:r>
      <w:r w:rsidRPr="00E71304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Pr="00E713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hyperlink r:id="rId10" w:history="1">
        <w:r w:rsidRPr="00E71304">
          <w:rPr>
            <w:rStyle w:val="a4"/>
            <w:rFonts w:ascii="Times New Roman" w:hAnsi="Times New Roman" w:cs="Times New Roman"/>
            <w:iCs/>
            <w:sz w:val="24"/>
            <w:szCs w:val="24"/>
            <w:lang w:val="uk-UA"/>
          </w:rPr>
          <w:t>http://uz.ukrstat.gov.ua/statinfo/dem/index.html</w:t>
        </w:r>
      </w:hyperlink>
      <w:r w:rsidRPr="00E71304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bookmarkEnd w:id="10"/>
    </w:p>
    <w:p w14:paraId="34C0FC8B" w14:textId="77777777" w:rsidR="00E71304" w:rsidRPr="00E71304" w:rsidRDefault="00E71304" w:rsidP="00407D0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11" w:name="_Hlk136944239"/>
      <w:r w:rsidRPr="00E7130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Дані головного управління статистики у Закарпатській області за 1991-2002 роки.</w:t>
      </w:r>
      <w:bookmarkEnd w:id="11"/>
    </w:p>
    <w:p w14:paraId="5F3A6CBB" w14:textId="77777777" w:rsidR="00E71304" w:rsidRPr="00E71304" w:rsidRDefault="00E71304" w:rsidP="00407D0D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E71304">
        <w:rPr>
          <w:rFonts w:ascii="Times New Roman" w:hAnsi="Times New Roman" w:cs="Times New Roman"/>
          <w:sz w:val="24"/>
          <w:szCs w:val="24"/>
          <w:lang w:val="uk-UA"/>
        </w:rPr>
        <w:t xml:space="preserve">Ринок праці у 2018 році. Комплексна економічна доповідь. Ужгород : Головне управління статистики в Закарпатській області, 2019. с. 22. </w:t>
      </w:r>
      <w:r w:rsidRPr="00E71304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Pr="00E7130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hyperlink r:id="rId11" w:history="1">
        <w:r w:rsidRPr="00E71304">
          <w:rPr>
            <w:rStyle w:val="a4"/>
            <w:rFonts w:ascii="Times New Roman" w:hAnsi="Times New Roman" w:cs="Times New Roman"/>
            <w:iCs/>
            <w:sz w:val="24"/>
            <w:szCs w:val="24"/>
            <w:lang w:val="uk-UA"/>
          </w:rPr>
          <w:t>http://www.uz.ukrstat.gov.ua/catalog/2019/dop_01.pdf</w:t>
        </w:r>
      </w:hyperlink>
      <w:r w:rsidRPr="00E71304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75FDEF46" w14:textId="24DA19DC" w:rsidR="00E71304" w:rsidRPr="000F0022" w:rsidRDefault="00E71304" w:rsidP="00407D0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7130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Статистичні щорічники Закарпаття за 2003-2019 рр. – Ужгород : Головне управління статистики у Закарпатській області.</w:t>
      </w:r>
    </w:p>
    <w:p w14:paraId="5F90BAA7" w14:textId="77777777" w:rsidR="000F0022" w:rsidRPr="00E71304" w:rsidRDefault="000F0022" w:rsidP="00407D0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12" w:name="_Hlk136943829"/>
      <w:r w:rsidRPr="00E71304">
        <w:rPr>
          <w:rFonts w:ascii="Times New Roman" w:eastAsiaTheme="minorEastAsia" w:hAnsi="Times New Roman" w:cs="Times New Roman"/>
          <w:noProof/>
          <w:sz w:val="24"/>
          <w:szCs w:val="24"/>
          <w:lang w:val="uk-UA" w:eastAsia="ru-RU"/>
        </w:rPr>
        <w:t>Статистичний щорічник Закарпаття за 2020 рік. Ужгород : Головне управління статистики у Закарпатській області, 2021. С. 29-52.</w:t>
      </w:r>
      <w:bookmarkEnd w:id="12"/>
    </w:p>
    <w:p w14:paraId="4DA31B8D" w14:textId="77777777" w:rsidR="00E71304" w:rsidRPr="00E71304" w:rsidRDefault="00E71304" w:rsidP="00407D0D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E71304" w:rsidRPr="00E71304" w:rsidSect="004019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922"/>
    <w:multiLevelType w:val="hybridMultilevel"/>
    <w:tmpl w:val="4E9A041C"/>
    <w:lvl w:ilvl="0" w:tplc="DF820A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1AC5"/>
    <w:multiLevelType w:val="hybridMultilevel"/>
    <w:tmpl w:val="739A7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2B31A3"/>
    <w:multiLevelType w:val="hybridMultilevel"/>
    <w:tmpl w:val="C23C2EE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536C8E"/>
    <w:multiLevelType w:val="hybridMultilevel"/>
    <w:tmpl w:val="AAE23F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B26480"/>
    <w:multiLevelType w:val="hybridMultilevel"/>
    <w:tmpl w:val="53A0B3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D825433"/>
    <w:multiLevelType w:val="hybridMultilevel"/>
    <w:tmpl w:val="D010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C0B6C"/>
    <w:multiLevelType w:val="hybridMultilevel"/>
    <w:tmpl w:val="AED0DC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B069FE"/>
    <w:multiLevelType w:val="hybridMultilevel"/>
    <w:tmpl w:val="009EF3D0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 w15:restartNumberingAfterBreak="0">
    <w:nsid w:val="496E3673"/>
    <w:multiLevelType w:val="hybridMultilevel"/>
    <w:tmpl w:val="4C9E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2A09"/>
    <w:multiLevelType w:val="hybridMultilevel"/>
    <w:tmpl w:val="B10E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636EA3"/>
    <w:multiLevelType w:val="hybridMultilevel"/>
    <w:tmpl w:val="4F8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A0"/>
    <w:rsid w:val="0001091D"/>
    <w:rsid w:val="000211E7"/>
    <w:rsid w:val="00025531"/>
    <w:rsid w:val="00030A29"/>
    <w:rsid w:val="00050F13"/>
    <w:rsid w:val="0008079F"/>
    <w:rsid w:val="00080C91"/>
    <w:rsid w:val="00087D78"/>
    <w:rsid w:val="000A0E87"/>
    <w:rsid w:val="000C782E"/>
    <w:rsid w:val="000D0626"/>
    <w:rsid w:val="000D6589"/>
    <w:rsid w:val="000F0022"/>
    <w:rsid w:val="00104326"/>
    <w:rsid w:val="001325DE"/>
    <w:rsid w:val="001470F0"/>
    <w:rsid w:val="0015451A"/>
    <w:rsid w:val="00155B08"/>
    <w:rsid w:val="001745EE"/>
    <w:rsid w:val="0017785D"/>
    <w:rsid w:val="0018743C"/>
    <w:rsid w:val="001A5593"/>
    <w:rsid w:val="001B5A53"/>
    <w:rsid w:val="001B64EF"/>
    <w:rsid w:val="001B744C"/>
    <w:rsid w:val="001D75DE"/>
    <w:rsid w:val="00240AF5"/>
    <w:rsid w:val="00275B85"/>
    <w:rsid w:val="00283EEC"/>
    <w:rsid w:val="00284BDF"/>
    <w:rsid w:val="00293DFF"/>
    <w:rsid w:val="00295D6F"/>
    <w:rsid w:val="002A2C36"/>
    <w:rsid w:val="002B2E01"/>
    <w:rsid w:val="002D238E"/>
    <w:rsid w:val="002E245E"/>
    <w:rsid w:val="002F6BD1"/>
    <w:rsid w:val="003176A0"/>
    <w:rsid w:val="00325166"/>
    <w:rsid w:val="003272EB"/>
    <w:rsid w:val="0032749A"/>
    <w:rsid w:val="0033134E"/>
    <w:rsid w:val="00335142"/>
    <w:rsid w:val="00335760"/>
    <w:rsid w:val="00355992"/>
    <w:rsid w:val="00377C5D"/>
    <w:rsid w:val="00381992"/>
    <w:rsid w:val="00387E88"/>
    <w:rsid w:val="003903BD"/>
    <w:rsid w:val="003A411D"/>
    <w:rsid w:val="003D1966"/>
    <w:rsid w:val="003D548A"/>
    <w:rsid w:val="003E63CA"/>
    <w:rsid w:val="00401983"/>
    <w:rsid w:val="00404034"/>
    <w:rsid w:val="00407D0D"/>
    <w:rsid w:val="0041046C"/>
    <w:rsid w:val="00426B9C"/>
    <w:rsid w:val="00441DCF"/>
    <w:rsid w:val="004456B8"/>
    <w:rsid w:val="004544E1"/>
    <w:rsid w:val="00462960"/>
    <w:rsid w:val="00462B97"/>
    <w:rsid w:val="0046474F"/>
    <w:rsid w:val="0046592F"/>
    <w:rsid w:val="00470ED9"/>
    <w:rsid w:val="00482388"/>
    <w:rsid w:val="00484CBB"/>
    <w:rsid w:val="004A5815"/>
    <w:rsid w:val="004D23B8"/>
    <w:rsid w:val="00501069"/>
    <w:rsid w:val="00511B97"/>
    <w:rsid w:val="0051538D"/>
    <w:rsid w:val="00517067"/>
    <w:rsid w:val="005250C9"/>
    <w:rsid w:val="00540757"/>
    <w:rsid w:val="005442FB"/>
    <w:rsid w:val="00557A24"/>
    <w:rsid w:val="00571ECD"/>
    <w:rsid w:val="00573541"/>
    <w:rsid w:val="00581C4A"/>
    <w:rsid w:val="00584CD8"/>
    <w:rsid w:val="005976E7"/>
    <w:rsid w:val="005A08F7"/>
    <w:rsid w:val="005A14FA"/>
    <w:rsid w:val="005A5AE1"/>
    <w:rsid w:val="005F1876"/>
    <w:rsid w:val="005F3514"/>
    <w:rsid w:val="00605237"/>
    <w:rsid w:val="006059AD"/>
    <w:rsid w:val="006246EA"/>
    <w:rsid w:val="006308D9"/>
    <w:rsid w:val="00633BF6"/>
    <w:rsid w:val="006622E1"/>
    <w:rsid w:val="0066460C"/>
    <w:rsid w:val="00684E37"/>
    <w:rsid w:val="006A58B0"/>
    <w:rsid w:val="006A7D06"/>
    <w:rsid w:val="006C1C05"/>
    <w:rsid w:val="006C41E1"/>
    <w:rsid w:val="006F6500"/>
    <w:rsid w:val="00701BEE"/>
    <w:rsid w:val="007172E3"/>
    <w:rsid w:val="0072125D"/>
    <w:rsid w:val="00731879"/>
    <w:rsid w:val="00741144"/>
    <w:rsid w:val="00742F84"/>
    <w:rsid w:val="007B6AA1"/>
    <w:rsid w:val="007D44D6"/>
    <w:rsid w:val="007D6997"/>
    <w:rsid w:val="007E1E5D"/>
    <w:rsid w:val="007E5515"/>
    <w:rsid w:val="007F52AB"/>
    <w:rsid w:val="008039BD"/>
    <w:rsid w:val="0082789C"/>
    <w:rsid w:val="008515CA"/>
    <w:rsid w:val="0087036D"/>
    <w:rsid w:val="008A24E3"/>
    <w:rsid w:val="008A40C6"/>
    <w:rsid w:val="008B0C15"/>
    <w:rsid w:val="008B539A"/>
    <w:rsid w:val="008C4492"/>
    <w:rsid w:val="008D0D00"/>
    <w:rsid w:val="008E696B"/>
    <w:rsid w:val="008F24B2"/>
    <w:rsid w:val="00920887"/>
    <w:rsid w:val="0096203A"/>
    <w:rsid w:val="00982DB4"/>
    <w:rsid w:val="009A72D3"/>
    <w:rsid w:val="009B363B"/>
    <w:rsid w:val="009B4BBD"/>
    <w:rsid w:val="009E2E03"/>
    <w:rsid w:val="00A025E6"/>
    <w:rsid w:val="00A03E0D"/>
    <w:rsid w:val="00A11DDB"/>
    <w:rsid w:val="00A22BD7"/>
    <w:rsid w:val="00A31834"/>
    <w:rsid w:val="00A36AD3"/>
    <w:rsid w:val="00A37042"/>
    <w:rsid w:val="00A633F4"/>
    <w:rsid w:val="00A90172"/>
    <w:rsid w:val="00AA791D"/>
    <w:rsid w:val="00AA7EA6"/>
    <w:rsid w:val="00AB6D80"/>
    <w:rsid w:val="00AC1288"/>
    <w:rsid w:val="00AD1C6B"/>
    <w:rsid w:val="00B016A5"/>
    <w:rsid w:val="00B04D2E"/>
    <w:rsid w:val="00B0586A"/>
    <w:rsid w:val="00B35677"/>
    <w:rsid w:val="00B80FC7"/>
    <w:rsid w:val="00B82A86"/>
    <w:rsid w:val="00B918FA"/>
    <w:rsid w:val="00B93FD7"/>
    <w:rsid w:val="00BA3E91"/>
    <w:rsid w:val="00BA7E50"/>
    <w:rsid w:val="00BC2953"/>
    <w:rsid w:val="00BC4A71"/>
    <w:rsid w:val="00BC4B44"/>
    <w:rsid w:val="00BC5E35"/>
    <w:rsid w:val="00BC7872"/>
    <w:rsid w:val="00BD13D9"/>
    <w:rsid w:val="00BD48F8"/>
    <w:rsid w:val="00BE44B9"/>
    <w:rsid w:val="00BF1271"/>
    <w:rsid w:val="00BF5627"/>
    <w:rsid w:val="00C01662"/>
    <w:rsid w:val="00C06AD5"/>
    <w:rsid w:val="00C12B6B"/>
    <w:rsid w:val="00C12CDF"/>
    <w:rsid w:val="00C23E4F"/>
    <w:rsid w:val="00C40BA8"/>
    <w:rsid w:val="00C4140F"/>
    <w:rsid w:val="00C5520F"/>
    <w:rsid w:val="00C57A02"/>
    <w:rsid w:val="00C91FDB"/>
    <w:rsid w:val="00C943EB"/>
    <w:rsid w:val="00CA68A6"/>
    <w:rsid w:val="00CD0948"/>
    <w:rsid w:val="00CD27EE"/>
    <w:rsid w:val="00CE27B6"/>
    <w:rsid w:val="00CF39D7"/>
    <w:rsid w:val="00CF576F"/>
    <w:rsid w:val="00D341E1"/>
    <w:rsid w:val="00D42990"/>
    <w:rsid w:val="00D7064B"/>
    <w:rsid w:val="00D71FAC"/>
    <w:rsid w:val="00D833B2"/>
    <w:rsid w:val="00D96AE3"/>
    <w:rsid w:val="00DA74A3"/>
    <w:rsid w:val="00DB3CCD"/>
    <w:rsid w:val="00DB551E"/>
    <w:rsid w:val="00DC7FA0"/>
    <w:rsid w:val="00DD6BF1"/>
    <w:rsid w:val="00DE527A"/>
    <w:rsid w:val="00DE68C0"/>
    <w:rsid w:val="00DF1020"/>
    <w:rsid w:val="00E30465"/>
    <w:rsid w:val="00E31D02"/>
    <w:rsid w:val="00E34D03"/>
    <w:rsid w:val="00E4158E"/>
    <w:rsid w:val="00E45136"/>
    <w:rsid w:val="00E47488"/>
    <w:rsid w:val="00E52B42"/>
    <w:rsid w:val="00E663C9"/>
    <w:rsid w:val="00E71304"/>
    <w:rsid w:val="00E762E3"/>
    <w:rsid w:val="00E7652F"/>
    <w:rsid w:val="00E9262D"/>
    <w:rsid w:val="00E96981"/>
    <w:rsid w:val="00EA744A"/>
    <w:rsid w:val="00EA79D4"/>
    <w:rsid w:val="00EC01F5"/>
    <w:rsid w:val="00EC32F4"/>
    <w:rsid w:val="00ED2E51"/>
    <w:rsid w:val="00EE1086"/>
    <w:rsid w:val="00EE27F8"/>
    <w:rsid w:val="00EE72B7"/>
    <w:rsid w:val="00EF115B"/>
    <w:rsid w:val="00F0489E"/>
    <w:rsid w:val="00F051E2"/>
    <w:rsid w:val="00F1223A"/>
    <w:rsid w:val="00F124E6"/>
    <w:rsid w:val="00F3289E"/>
    <w:rsid w:val="00F432E0"/>
    <w:rsid w:val="00F80CF2"/>
    <w:rsid w:val="00F862C3"/>
    <w:rsid w:val="00FA31E9"/>
    <w:rsid w:val="00FA5B29"/>
    <w:rsid w:val="00FC159A"/>
    <w:rsid w:val="00FC1D34"/>
    <w:rsid w:val="00FC73A5"/>
    <w:rsid w:val="00FD167E"/>
    <w:rsid w:val="00FD1EC7"/>
    <w:rsid w:val="00FE3BBF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7360"/>
  <w15:chartTrackingRefBased/>
  <w15:docId w15:val="{D6A8779C-FE10-4E9A-ADFF-8CEACBE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5C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5CC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A5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8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uz.ukrstat.gov.ua/catalog/2019/dop_0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z.ukrstat.gov.ua/statinfo/dem/index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0;&#1087;&#1083;&#1086;&#1084;&#1085;&#1110;%202023\&#1050;&#1072;&#1087;&#1094;&#1086;&#1096;\&#1053;&#1040;&#1057;.%20&#1050;&#1072;&#1087;&#1094;&#1086;&#109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0;&#1087;&#1083;&#1086;&#1084;&#1085;&#1110;%202023\&#1050;&#1072;&#1087;&#1094;&#1086;&#1096;\&#1053;&#1040;&#1057;.%20&#1050;&#1072;&#1087;&#1094;&#1086;&#1096;%20%20&#1057;&#1085;&#1110;&#1078;&#1072;&#1085;&#1085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0;&#1087;&#1083;&#1086;&#1084;&#1085;&#1110;%202023\&#1050;&#1072;&#1087;&#1094;&#1086;&#1096;\&#1053;&#1040;&#1057;.%20&#1050;&#1072;&#1087;&#1094;&#1086;&#109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0;&#1087;&#1083;&#1086;&#1084;&#1085;&#1110;%202023\&#1050;&#1072;&#1087;&#1094;&#1086;&#1096;\&#1053;&#1040;&#1057;.%20&#1050;&#1072;&#1087;&#1094;&#1086;&#1096;%20%20&#1057;&#1085;&#1110;&#1078;&#1072;&#1085;&#1085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Динаміка чисельності наявного населення Іршавщини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(станом на 1 січня 1992-2021 рр.)</a:t>
            </a:r>
          </a:p>
        </c:rich>
      </c:tx>
      <c:layout>
        <c:manualLayout>
          <c:xMode val="edge"/>
          <c:yMode val="edge"/>
          <c:x val="0.13518494047143093"/>
          <c:y val="6.94514058432634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878791394055219"/>
          <c:y val="0.16487481647493915"/>
          <c:w val="0.84727297800455093"/>
          <c:h val="0.64635707038363832"/>
        </c:manualLayout>
      </c:layout>
      <c:lineChart>
        <c:grouping val="standard"/>
        <c:varyColors val="0"/>
        <c:ser>
          <c:idx val="0"/>
          <c:order val="0"/>
          <c:tx>
            <c:v>- наявне населення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 чисельність, стат-вік. склад'!$A$5:$A$34</c:f>
              <c:numCache>
                <c:formatCode>General</c:formatCode>
                <c:ptCount val="30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  <c:pt idx="26">
                  <c:v>2018</c:v>
                </c:pt>
                <c:pt idx="27">
                  <c:v>2019</c:v>
                </c:pt>
                <c:pt idx="28">
                  <c:v>2020</c:v>
                </c:pt>
                <c:pt idx="29">
                  <c:v>2021</c:v>
                </c:pt>
              </c:numCache>
            </c:numRef>
          </c:cat>
          <c:val>
            <c:numRef>
              <c:f>' чисельність, стат-вік. склад'!$B$5:$B$34</c:f>
              <c:numCache>
                <c:formatCode>0.0</c:formatCode>
                <c:ptCount val="30"/>
                <c:pt idx="0">
                  <c:v>97.9</c:v>
                </c:pt>
                <c:pt idx="1">
                  <c:v>98.5</c:v>
                </c:pt>
                <c:pt idx="2">
                  <c:v>98.7</c:v>
                </c:pt>
                <c:pt idx="3">
                  <c:v>98.9</c:v>
                </c:pt>
                <c:pt idx="4">
                  <c:v>99.2</c:v>
                </c:pt>
                <c:pt idx="5">
                  <c:v>99.5</c:v>
                </c:pt>
                <c:pt idx="6">
                  <c:v>99.8</c:v>
                </c:pt>
                <c:pt idx="7">
                  <c:v>100.4</c:v>
                </c:pt>
                <c:pt idx="8">
                  <c:v>100.5</c:v>
                </c:pt>
                <c:pt idx="9">
                  <c:v>101.2</c:v>
                </c:pt>
                <c:pt idx="10">
                  <c:v>100.9</c:v>
                </c:pt>
                <c:pt idx="11">
                  <c:v>100.3</c:v>
                </c:pt>
                <c:pt idx="12">
                  <c:v>100</c:v>
                </c:pt>
                <c:pt idx="13">
                  <c:v>99.6</c:v>
                </c:pt>
                <c:pt idx="14">
                  <c:v>99.2</c:v>
                </c:pt>
                <c:pt idx="15">
                  <c:v>99</c:v>
                </c:pt>
                <c:pt idx="16">
                  <c:v>98.6</c:v>
                </c:pt>
                <c:pt idx="17">
                  <c:v>98.5</c:v>
                </c:pt>
                <c:pt idx="18" formatCode="General">
                  <c:v>98.8</c:v>
                </c:pt>
                <c:pt idx="19">
                  <c:v>98.9</c:v>
                </c:pt>
                <c:pt idx="20">
                  <c:v>99</c:v>
                </c:pt>
                <c:pt idx="21">
                  <c:v>99.4</c:v>
                </c:pt>
                <c:pt idx="22">
                  <c:v>99.5</c:v>
                </c:pt>
                <c:pt idx="23">
                  <c:v>99.9</c:v>
                </c:pt>
                <c:pt idx="24">
                  <c:v>100</c:v>
                </c:pt>
                <c:pt idx="25">
                  <c:v>100.3</c:v>
                </c:pt>
                <c:pt idx="26">
                  <c:v>100.6</c:v>
                </c:pt>
                <c:pt idx="27">
                  <c:v>100.5</c:v>
                </c:pt>
                <c:pt idx="28">
                  <c:v>100.3</c:v>
                </c:pt>
                <c:pt idx="29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90-4A27-B28F-AA8A89CA64D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2858864"/>
        <c:axId val="1"/>
      </c:lineChart>
      <c:catAx>
        <c:axId val="532858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Роки</a:t>
                </a:r>
              </a:p>
            </c:rich>
          </c:tx>
          <c:layout>
            <c:manualLayout>
              <c:xMode val="edge"/>
              <c:yMode val="edge"/>
              <c:x val="0.51393954602851155"/>
              <c:y val="0.873358629298409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97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тис. осіб</a:t>
                </a:r>
              </a:p>
            </c:rich>
          </c:tx>
          <c:layout>
            <c:manualLayout>
              <c:xMode val="edge"/>
              <c:yMode val="edge"/>
              <c:x val="1.3333337279041572E-2"/>
              <c:y val="0.442055667360344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285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61389126198883"/>
          <c:y val="0.95939303788258501"/>
          <c:w val="0.24772200642209943"/>
          <c:h val="4.0606962117414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5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Динаміка народжуваності та смертності населення Іршавщини (1991-2020 рр.)</a:t>
            </a:r>
          </a:p>
        </c:rich>
      </c:tx>
      <c:layout>
        <c:manualLayout>
          <c:xMode val="edge"/>
          <c:yMode val="edge"/>
          <c:x val="0.19151520818986986"/>
          <c:y val="3.7234090906139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5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242427865301808"/>
          <c:y val="0.29255357140538174"/>
          <c:w val="0.85696995057112646"/>
          <c:h val="0.35372386360832525"/>
        </c:manualLayout>
      </c:layout>
      <c:barChart>
        <c:barDir val="col"/>
        <c:grouping val="clustered"/>
        <c:varyColors val="0"/>
        <c:ser>
          <c:idx val="0"/>
          <c:order val="0"/>
          <c:tx>
            <c:v>- народжуваність</c:v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'Прир. приріст '!$A$63:$A$92</c:f>
              <c:numCache>
                <c:formatCode>General</c:formatCode>
                <c:ptCount val="30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 formatCode="0">
                  <c:v>2008</c:v>
                </c:pt>
                <c:pt idx="18" formatCode="0">
                  <c:v>2009</c:v>
                </c:pt>
                <c:pt idx="19" formatCode="0">
                  <c:v>2010</c:v>
                </c:pt>
                <c:pt idx="20" formatCode="0">
                  <c:v>2011</c:v>
                </c:pt>
                <c:pt idx="21" formatCode="0">
                  <c:v>2012</c:v>
                </c:pt>
                <c:pt idx="22" formatCode="0">
                  <c:v>2013</c:v>
                </c:pt>
                <c:pt idx="23" formatCode="0">
                  <c:v>2014</c:v>
                </c:pt>
                <c:pt idx="24" formatCode="0">
                  <c:v>2015</c:v>
                </c:pt>
                <c:pt idx="25" formatCode="0">
                  <c:v>2016</c:v>
                </c:pt>
                <c:pt idx="26">
                  <c:v>2017</c:v>
                </c:pt>
                <c:pt idx="27" formatCode="0">
                  <c:v>2018</c:v>
                </c:pt>
                <c:pt idx="28" formatCode="0">
                  <c:v>2019</c:v>
                </c:pt>
                <c:pt idx="29" formatCode="0">
                  <c:v>2020</c:v>
                </c:pt>
              </c:numCache>
            </c:numRef>
          </c:cat>
          <c:val>
            <c:numRef>
              <c:f>'Прир. приріст '!$B$63:$B$92</c:f>
              <c:numCache>
                <c:formatCode>0</c:formatCode>
                <c:ptCount val="30"/>
                <c:pt idx="0">
                  <c:v>1908</c:v>
                </c:pt>
                <c:pt idx="1">
                  <c:v>1793</c:v>
                </c:pt>
                <c:pt idx="2">
                  <c:v>1689</c:v>
                </c:pt>
                <c:pt idx="3">
                  <c:v>1561</c:v>
                </c:pt>
                <c:pt idx="4">
                  <c:v>1551</c:v>
                </c:pt>
                <c:pt idx="5">
                  <c:v>1541</c:v>
                </c:pt>
                <c:pt idx="6">
                  <c:v>1389</c:v>
                </c:pt>
                <c:pt idx="7">
                  <c:v>1340</c:v>
                </c:pt>
                <c:pt idx="8">
                  <c:v>1224</c:v>
                </c:pt>
                <c:pt idx="9">
                  <c:v>1213</c:v>
                </c:pt>
                <c:pt idx="10">
                  <c:v>1124</c:v>
                </c:pt>
                <c:pt idx="11">
                  <c:v>1165</c:v>
                </c:pt>
                <c:pt idx="12">
                  <c:v>1234</c:v>
                </c:pt>
                <c:pt idx="13">
                  <c:v>1285</c:v>
                </c:pt>
                <c:pt idx="14">
                  <c:v>1283</c:v>
                </c:pt>
                <c:pt idx="15">
                  <c:v>1366</c:v>
                </c:pt>
                <c:pt idx="16" formatCode="General">
                  <c:v>1399</c:v>
                </c:pt>
                <c:pt idx="17" formatCode="General">
                  <c:v>1500</c:v>
                </c:pt>
                <c:pt idx="18" formatCode="General">
                  <c:v>1530</c:v>
                </c:pt>
                <c:pt idx="19" formatCode="General">
                  <c:v>1484</c:v>
                </c:pt>
                <c:pt idx="20" formatCode="General">
                  <c:v>1451</c:v>
                </c:pt>
                <c:pt idx="21" formatCode="General">
                  <c:v>1562</c:v>
                </c:pt>
                <c:pt idx="22" formatCode="General">
                  <c:v>1555</c:v>
                </c:pt>
                <c:pt idx="23" formatCode="General">
                  <c:v>1441</c:v>
                </c:pt>
                <c:pt idx="24" formatCode="General">
                  <c:v>1398</c:v>
                </c:pt>
                <c:pt idx="25" formatCode="General">
                  <c:v>1413</c:v>
                </c:pt>
                <c:pt idx="26" formatCode="General">
                  <c:v>1287</c:v>
                </c:pt>
                <c:pt idx="27" formatCode="General">
                  <c:v>1212</c:v>
                </c:pt>
                <c:pt idx="28" formatCode="General">
                  <c:v>1077</c:v>
                </c:pt>
                <c:pt idx="29" formatCode="General">
                  <c:v>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D2-43C4-963E-E78848F8872C}"/>
            </c:ext>
          </c:extLst>
        </c:ser>
        <c:ser>
          <c:idx val="1"/>
          <c:order val="1"/>
          <c:tx>
            <c:v>- смертність</c:v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'Прир. приріст '!$A$63:$A$92</c:f>
              <c:numCache>
                <c:formatCode>General</c:formatCode>
                <c:ptCount val="30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 formatCode="0">
                  <c:v>2008</c:v>
                </c:pt>
                <c:pt idx="18" formatCode="0">
                  <c:v>2009</c:v>
                </c:pt>
                <c:pt idx="19" formatCode="0">
                  <c:v>2010</c:v>
                </c:pt>
                <c:pt idx="20" formatCode="0">
                  <c:v>2011</c:v>
                </c:pt>
                <c:pt idx="21" formatCode="0">
                  <c:v>2012</c:v>
                </c:pt>
                <c:pt idx="22" formatCode="0">
                  <c:v>2013</c:v>
                </c:pt>
                <c:pt idx="23" formatCode="0">
                  <c:v>2014</c:v>
                </c:pt>
                <c:pt idx="24" formatCode="0">
                  <c:v>2015</c:v>
                </c:pt>
                <c:pt idx="25" formatCode="0">
                  <c:v>2016</c:v>
                </c:pt>
                <c:pt idx="26">
                  <c:v>2017</c:v>
                </c:pt>
                <c:pt idx="27" formatCode="0">
                  <c:v>2018</c:v>
                </c:pt>
                <c:pt idx="28" formatCode="0">
                  <c:v>2019</c:v>
                </c:pt>
                <c:pt idx="29" formatCode="0">
                  <c:v>2020</c:v>
                </c:pt>
              </c:numCache>
            </c:numRef>
          </c:cat>
          <c:val>
            <c:numRef>
              <c:f>'Прир. приріст '!$C$63:$C$92</c:f>
              <c:numCache>
                <c:formatCode>0</c:formatCode>
                <c:ptCount val="30"/>
                <c:pt idx="0">
                  <c:v>1111</c:v>
                </c:pt>
                <c:pt idx="1">
                  <c:v>1090</c:v>
                </c:pt>
                <c:pt idx="2">
                  <c:v>1095</c:v>
                </c:pt>
                <c:pt idx="3">
                  <c:v>1145</c:v>
                </c:pt>
                <c:pt idx="4">
                  <c:v>1179</c:v>
                </c:pt>
                <c:pt idx="5">
                  <c:v>1148</c:v>
                </c:pt>
                <c:pt idx="6">
                  <c:v>1140</c:v>
                </c:pt>
                <c:pt idx="7">
                  <c:v>1126</c:v>
                </c:pt>
                <c:pt idx="8">
                  <c:v>1133</c:v>
                </c:pt>
                <c:pt idx="9" formatCode="General">
                  <c:v>1109</c:v>
                </c:pt>
                <c:pt idx="10">
                  <c:v>1085</c:v>
                </c:pt>
                <c:pt idx="11">
                  <c:v>1208</c:v>
                </c:pt>
                <c:pt idx="12">
                  <c:v>1107</c:v>
                </c:pt>
                <c:pt idx="13">
                  <c:v>1269</c:v>
                </c:pt>
                <c:pt idx="14">
                  <c:v>1250</c:v>
                </c:pt>
                <c:pt idx="15">
                  <c:v>1180</c:v>
                </c:pt>
                <c:pt idx="16" formatCode="General">
                  <c:v>1263</c:v>
                </c:pt>
                <c:pt idx="17" formatCode="General">
                  <c:v>1226</c:v>
                </c:pt>
                <c:pt idx="18" formatCode="General">
                  <c:v>1116</c:v>
                </c:pt>
                <c:pt idx="19" formatCode="General">
                  <c:v>1178</c:v>
                </c:pt>
                <c:pt idx="20" formatCode="General">
                  <c:v>1127</c:v>
                </c:pt>
                <c:pt idx="21" formatCode="General">
                  <c:v>1108</c:v>
                </c:pt>
                <c:pt idx="22" formatCode="General">
                  <c:v>1146</c:v>
                </c:pt>
                <c:pt idx="23" formatCode="General">
                  <c:v>1104</c:v>
                </c:pt>
                <c:pt idx="24" formatCode="General">
                  <c:v>1236</c:v>
                </c:pt>
                <c:pt idx="25" formatCode="General">
                  <c:v>1136</c:v>
                </c:pt>
                <c:pt idx="26" formatCode="General">
                  <c:v>1136</c:v>
                </c:pt>
                <c:pt idx="27" formatCode="General">
                  <c:v>1112</c:v>
                </c:pt>
                <c:pt idx="28" formatCode="General">
                  <c:v>1140</c:v>
                </c:pt>
                <c:pt idx="29" formatCode="General">
                  <c:v>1241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D2-43C4-963E-E78848F88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532764400"/>
        <c:axId val="1"/>
      </c:barChart>
      <c:catAx>
        <c:axId val="532764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Роки</a:t>
                </a:r>
              </a:p>
            </c:rich>
          </c:tx>
          <c:layout>
            <c:manualLayout>
              <c:xMode val="edge"/>
              <c:yMode val="edge"/>
              <c:x val="0.52242439702426513"/>
              <c:y val="0.784575486950796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Осіб</a:t>
                </a:r>
              </a:p>
            </c:rich>
          </c:tx>
          <c:layout>
            <c:manualLayout>
              <c:xMode val="edge"/>
              <c:yMode val="edge"/>
              <c:x val="2.3030309845617263E-2"/>
              <c:y val="0.4122345778894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276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Динаміка природного приросту населення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Іршавщини </a:t>
            </a: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(1991-2020 рр.)</a:t>
            </a:r>
          </a:p>
        </c:rich>
      </c:tx>
      <c:layout>
        <c:manualLayout>
          <c:xMode val="edge"/>
          <c:yMode val="edge"/>
          <c:x val="0.15063307432251291"/>
          <c:y val="5.11904910686648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15191187811869"/>
          <c:y val="0.18452386315448965"/>
          <c:w val="0.86076042470007375"/>
          <c:h val="0.71904782803426925"/>
        </c:manualLayout>
      </c:layout>
      <c:barChart>
        <c:barDir val="col"/>
        <c:grouping val="clustered"/>
        <c:varyColors val="0"/>
        <c:ser>
          <c:idx val="0"/>
          <c:order val="0"/>
          <c:tx>
            <c:v>- природний приріст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'[НАС. Капцош.xlsx]Прир. приріст '!$A$3:$A$32</c:f>
              <c:numCache>
                <c:formatCode>General</c:formatCode>
                <c:ptCount val="30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 formatCode="0">
                  <c:v>2008</c:v>
                </c:pt>
                <c:pt idx="18" formatCode="0">
                  <c:v>2009</c:v>
                </c:pt>
                <c:pt idx="19" formatCode="0">
                  <c:v>2010</c:v>
                </c:pt>
                <c:pt idx="20" formatCode="0">
                  <c:v>2011</c:v>
                </c:pt>
                <c:pt idx="21" formatCode="0">
                  <c:v>2012</c:v>
                </c:pt>
                <c:pt idx="22" formatCode="0">
                  <c:v>2013</c:v>
                </c:pt>
                <c:pt idx="23" formatCode="0">
                  <c:v>2014</c:v>
                </c:pt>
                <c:pt idx="24" formatCode="0">
                  <c:v>2015</c:v>
                </c:pt>
                <c:pt idx="25" formatCode="0">
                  <c:v>2016</c:v>
                </c:pt>
                <c:pt idx="26">
                  <c:v>2017</c:v>
                </c:pt>
                <c:pt idx="27" formatCode="0">
                  <c:v>2018</c:v>
                </c:pt>
                <c:pt idx="28" formatCode="0">
                  <c:v>2019</c:v>
                </c:pt>
                <c:pt idx="29" formatCode="0">
                  <c:v>2020</c:v>
                </c:pt>
              </c:numCache>
            </c:numRef>
          </c:cat>
          <c:val>
            <c:numRef>
              <c:f>'[НАС. Капцош.xlsx]Прир. приріст '!$D$3:$D$32</c:f>
              <c:numCache>
                <c:formatCode>General</c:formatCode>
                <c:ptCount val="30"/>
                <c:pt idx="0">
                  <c:v>797</c:v>
                </c:pt>
                <c:pt idx="1">
                  <c:v>703</c:v>
                </c:pt>
                <c:pt idx="2">
                  <c:v>594</c:v>
                </c:pt>
                <c:pt idx="3">
                  <c:v>416</c:v>
                </c:pt>
                <c:pt idx="4">
                  <c:v>372</c:v>
                </c:pt>
                <c:pt idx="5" formatCode="0">
                  <c:v>393</c:v>
                </c:pt>
                <c:pt idx="6">
                  <c:v>249</c:v>
                </c:pt>
                <c:pt idx="7">
                  <c:v>214</c:v>
                </c:pt>
                <c:pt idx="8">
                  <c:v>91</c:v>
                </c:pt>
                <c:pt idx="9">
                  <c:v>104</c:v>
                </c:pt>
                <c:pt idx="10">
                  <c:v>39</c:v>
                </c:pt>
                <c:pt idx="11">
                  <c:v>-43</c:v>
                </c:pt>
                <c:pt idx="12">
                  <c:v>127</c:v>
                </c:pt>
                <c:pt idx="13">
                  <c:v>16</c:v>
                </c:pt>
                <c:pt idx="14">
                  <c:v>33</c:v>
                </c:pt>
                <c:pt idx="15">
                  <c:v>186</c:v>
                </c:pt>
                <c:pt idx="16">
                  <c:v>136</c:v>
                </c:pt>
                <c:pt idx="17">
                  <c:v>274</c:v>
                </c:pt>
                <c:pt idx="18">
                  <c:v>414</c:v>
                </c:pt>
                <c:pt idx="19">
                  <c:v>306</c:v>
                </c:pt>
                <c:pt idx="20">
                  <c:v>324</c:v>
                </c:pt>
                <c:pt idx="21">
                  <c:v>454</c:v>
                </c:pt>
                <c:pt idx="22">
                  <c:v>409</c:v>
                </c:pt>
                <c:pt idx="23">
                  <c:v>337</c:v>
                </c:pt>
                <c:pt idx="24">
                  <c:v>162</c:v>
                </c:pt>
                <c:pt idx="25">
                  <c:v>277</c:v>
                </c:pt>
                <c:pt idx="26">
                  <c:v>151</c:v>
                </c:pt>
                <c:pt idx="27">
                  <c:v>100</c:v>
                </c:pt>
                <c:pt idx="28">
                  <c:v>-63</c:v>
                </c:pt>
                <c:pt idx="29">
                  <c:v>-130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6-48F6-B69F-1FE3F6B0B3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32748656"/>
        <c:axId val="1"/>
      </c:barChart>
      <c:catAx>
        <c:axId val="532748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55063291139240511"/>
              <c:y val="0.894446777486147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8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Природний приріст  (осіб)</a:t>
                </a:r>
              </a:p>
            </c:rich>
          </c:tx>
          <c:layout>
            <c:manualLayout>
              <c:xMode val="edge"/>
              <c:yMode val="edge"/>
              <c:x val="2.3734177215189875E-2"/>
              <c:y val="0.269463108778069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74865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Динаміка усіх потоків міграції населення Іршавщини
 (2002-2020 рр.)</a:t>
            </a:r>
          </a:p>
        </c:rich>
      </c:tx>
      <c:layout>
        <c:manualLayout>
          <c:xMode val="edge"/>
          <c:yMode val="edge"/>
          <c:x val="0.22015496402854187"/>
          <c:y val="2.2898140319782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747474747474748"/>
          <c:y val="0.30982367758186397"/>
          <c:w val="0.83272751915468723"/>
          <c:h val="0.44332507334214161"/>
        </c:manualLayout>
      </c:layout>
      <c:barChart>
        <c:barDir val="col"/>
        <c:grouping val="clustered"/>
        <c:varyColors val="0"/>
        <c:ser>
          <c:idx val="0"/>
          <c:order val="0"/>
          <c:tx>
            <c:v>- сальдо міграції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'Міграція, шлюби і розлуч'!$A$127:$A$145</c:f>
              <c:numCache>
                <c:formatCode>General</c:formatCode>
                <c:ptCount val="19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</c:numCache>
            </c:numRef>
          </c:cat>
          <c:val>
            <c:numRef>
              <c:f>'Міграція, шлюби і розлуч'!$B$127:$B$145</c:f>
              <c:numCache>
                <c:formatCode>General</c:formatCode>
                <c:ptCount val="19"/>
                <c:pt idx="0">
                  <c:v>-475</c:v>
                </c:pt>
                <c:pt idx="1">
                  <c:v>-381</c:v>
                </c:pt>
                <c:pt idx="2">
                  <c:v>-408</c:v>
                </c:pt>
                <c:pt idx="3">
                  <c:v>-485</c:v>
                </c:pt>
                <c:pt idx="4">
                  <c:v>-363</c:v>
                </c:pt>
                <c:pt idx="5">
                  <c:v>-502</c:v>
                </c:pt>
                <c:pt idx="6">
                  <c:v>-360</c:v>
                </c:pt>
                <c:pt idx="7">
                  <c:v>-136</c:v>
                </c:pt>
                <c:pt idx="8">
                  <c:v>-254</c:v>
                </c:pt>
                <c:pt idx="9">
                  <c:v>-151</c:v>
                </c:pt>
                <c:pt idx="10">
                  <c:v>-62</c:v>
                </c:pt>
                <c:pt idx="11">
                  <c:v>-308</c:v>
                </c:pt>
                <c:pt idx="12">
                  <c:v>-7</c:v>
                </c:pt>
                <c:pt idx="13">
                  <c:v>-25</c:v>
                </c:pt>
                <c:pt idx="14">
                  <c:v>57</c:v>
                </c:pt>
                <c:pt idx="15">
                  <c:v>10</c:v>
                </c:pt>
                <c:pt idx="16">
                  <c:v>-87</c:v>
                </c:pt>
                <c:pt idx="17">
                  <c:v>-149</c:v>
                </c:pt>
                <c:pt idx="18">
                  <c:v>-139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78-4A81-90CD-BB14FF28CE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32755872"/>
        <c:axId val="1"/>
      </c:barChart>
      <c:catAx>
        <c:axId val="532755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Роки</a:t>
                </a:r>
              </a:p>
            </c:rich>
          </c:tx>
          <c:layout>
            <c:manualLayout>
              <c:xMode val="edge"/>
              <c:yMode val="edge"/>
              <c:x val="0.53333349116166284"/>
              <c:y val="0.790932233121775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сальдо міграції, осіб</a:t>
                </a:r>
              </a:p>
            </c:rich>
          </c:tx>
          <c:layout>
            <c:manualLayout>
              <c:xMode val="edge"/>
              <c:yMode val="edge"/>
              <c:x val="2.3030309845617263E-2"/>
              <c:y val="0.312342665309236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275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457D-A1B5-4B83-BBFF-98921F2E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Vachilya_mirka@ukr.net</dc:creator>
  <cp:keywords/>
  <dc:description/>
  <cp:lastModifiedBy>Пользователь</cp:lastModifiedBy>
  <cp:revision>224</cp:revision>
  <dcterms:created xsi:type="dcterms:W3CDTF">2023-05-17T16:42:00Z</dcterms:created>
  <dcterms:modified xsi:type="dcterms:W3CDTF">2023-07-12T17:01:00Z</dcterms:modified>
</cp:coreProperties>
</file>