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16" w:rsidRDefault="00D05716" w:rsidP="00D05716">
      <w:pPr>
        <w:pStyle w:val="Default"/>
        <w:rPr>
          <w:b/>
          <w:sz w:val="28"/>
          <w:szCs w:val="28"/>
          <w:lang w:val="uk-UA"/>
        </w:rPr>
      </w:pPr>
    </w:p>
    <w:p w:rsidR="00D05716" w:rsidRPr="007E122D" w:rsidRDefault="00D05716" w:rsidP="00D05716">
      <w:pPr>
        <w:pStyle w:val="Default"/>
        <w:rPr>
          <w:sz w:val="28"/>
          <w:szCs w:val="28"/>
          <w:lang w:val="uk-UA"/>
        </w:rPr>
      </w:pPr>
    </w:p>
    <w:p w:rsidR="00D05716" w:rsidRDefault="00B72AB8" w:rsidP="003B25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72AB8">
        <w:rPr>
          <w:rFonts w:ascii="Times New Roman" w:hAnsi="Times New Roman" w:cs="Times New Roman"/>
          <w:sz w:val="28"/>
          <w:szCs w:val="28"/>
          <w:lang w:val="en-US"/>
        </w:rPr>
        <w:t>Problems of Falsification of Medicinal products in the conditions of the COVID-19 Pandemic: Adaptation of Ukrainian legislation to the norms of the European Union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B8" w:rsidRDefault="00B72AB8" w:rsidP="003B25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Author(s): Galina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Rizak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Heiko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Viktoria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Dovzhuk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Liudmyla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Konovalova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>, Natalya Vlasenko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Email(s): </w:t>
      </w:r>
      <w:proofErr w:type="gramStart"/>
      <w:r w:rsidRPr="008B68C9">
        <w:rPr>
          <w:rFonts w:ascii="Times New Roman" w:hAnsi="Times New Roman" w:cs="Times New Roman"/>
          <w:sz w:val="28"/>
          <w:szCs w:val="28"/>
          <w:lang w:val="en-US"/>
        </w:rPr>
        <w:t>galina.rizak@uzhnu.edu.ua ,</w:t>
      </w:r>
      <w:proofErr w:type="gram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irina.geiko.2018@gmail.com , dovika@ukr.net , konovalova.lv@ukr.net , vlasenkonata88@gmail.com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DOI: 10.52711/0974-360X.2023.00580    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Address: Galina Rizak1*,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Heiko2,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Viktoria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Dovzhuk3,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Liudmyla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Konovalova4, Natalya Vlasenko5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1Candidate of Pharmaceutical Sciences, Associate Professor of the Department of Organic Chemistry.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Uzhhorod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University.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2Candidate of Medical Sciences, Assistant Donetsk National Medical University, Faculty of Pharmacy, Department Pharmacy and Pharmacology, Liman, Street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Privokzalna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3Candidate of Pharm. D., Associate Professor of the Department of Pharmacy Organization and Economics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Bogomolets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Faculty of Pharmacy Department of Pharmacy, Organization and Economics, 01601, Kyiv, T. Shevchenko Boulevard,13.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4Ph.D., Associate Professor, Associate Professor of the Department of Pharmacy Organization and Economics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Bogomolets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Faculty of Pharmacy Department of Pharmacy Organization and Economics, 01601, Kyiv, T. Shevchenko Boulevard,13.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5PhD, Assoc., Poltava State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Medikal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C9">
        <w:rPr>
          <w:rFonts w:ascii="Times New Roman" w:hAnsi="Times New Roman" w:cs="Times New Roman"/>
          <w:sz w:val="28"/>
          <w:szCs w:val="28"/>
          <w:lang w:val="en-US"/>
        </w:rPr>
        <w:t>Universiti</w:t>
      </w:r>
      <w:proofErr w:type="spellEnd"/>
      <w:r w:rsidRPr="008B68C9">
        <w:rPr>
          <w:rFonts w:ascii="Times New Roman" w:hAnsi="Times New Roman" w:cs="Times New Roman"/>
          <w:sz w:val="28"/>
          <w:szCs w:val="28"/>
          <w:lang w:val="en-US"/>
        </w:rPr>
        <w:t>, Department of Pharmacology, Clinical Pharm</w:t>
      </w:r>
    </w:p>
    <w:p w:rsidR="008B68C9" w:rsidRPr="008B68C9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72AB8" w:rsidRDefault="008B68C9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Published In:   Volume - 16,      Issue - 7,     Year </w:t>
      </w:r>
      <w:r w:rsidR="00FC41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B68C9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FC4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1F8" w:rsidRDefault="00FC41F8" w:rsidP="008B6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41F8" w:rsidRPr="00FC41F8" w:rsidRDefault="00FC41F8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C41F8">
        <w:rPr>
          <w:rFonts w:ascii="Times New Roman" w:hAnsi="Times New Roman" w:cs="Times New Roman"/>
          <w:sz w:val="28"/>
          <w:szCs w:val="28"/>
          <w:lang w:val="uk-UA"/>
        </w:rPr>
        <w:t>ABSTRACT:</w:t>
      </w:r>
    </w:p>
    <w:p w:rsidR="00FC41F8" w:rsidRPr="00FC41F8" w:rsidRDefault="00FC41F8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low-quality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medicinal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especially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relevant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spread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became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tangible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fight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virus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quarantine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restrictions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became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heavy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blows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sought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unofficial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analyze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falsification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models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legislative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synthesis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induction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deduction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became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lastRenderedPageBreak/>
        <w:t>content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systematic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SMART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FINER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highlighted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falsified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unlicensed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spread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COVID-19 -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semi-legal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pharmacies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exclusively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sales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quite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loyal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low-quality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uncertified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medicinal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punished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administratively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primarily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counter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falsified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discussed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drawn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geopolitical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factor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fight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COVID-19 –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Russian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vaccine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“SPUTNIK V”,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Russian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aggression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assessed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hybrid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threat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problematic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vaccine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demonstrated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secrecy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conducting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experiments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Resolutions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regulatory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allowed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doctors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vaccine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either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episode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moment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establish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conclusions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note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reform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take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harmonize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regulations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circulation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make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possible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face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significantly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complicate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entry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counterfeit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1F8" w:rsidRPr="00FC41F8" w:rsidRDefault="00FC41F8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41F8" w:rsidRPr="00FC41F8" w:rsidRDefault="00FC41F8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41F8" w:rsidRDefault="00FC41F8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COVID-19,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falsification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1F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FC4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362" w:rsidRDefault="009C6362" w:rsidP="00FC41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Galina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Rizak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Iryna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Heiko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Viktoria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Dovzhuk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Liudmyla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Konovalova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Natalya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Vlasenko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Falsification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2023; 16(7):3511-7.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doi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10.52711/0974-360X.2023.00580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Galina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Rizak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Iryna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Heiko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Viktoria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Dovzhuk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Liudmyla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Konovalova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Natalya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Vlasenko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Falsification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2023; 16(7):3511-7.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doi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10.52711/0974-360X.2023.00580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FD46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https://www.rjptonline.org/AbstractView.aspx?PID=2023-16-7-77</w:t>
        </w:r>
      </w:hyperlink>
    </w:p>
    <w:p w:rsid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>REFERENCES: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Janvier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Spiegeleer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B,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Vanhee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Deconinck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E.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Falsification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biotechnology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dangers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disasters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Pharmaceutical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Biomedical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2018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Nov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20];161:175-91.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https://doi.org/10.1016/j.jpba.2018.08.037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Corrie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L,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Muzaffar-Ur-Rehman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Kukatil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L,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Manasa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D,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Shirisha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Antifibrotic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orphan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blockbusters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Respiratory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Reviews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5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20];17(1):8-12.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https://doi.org/10.2174/1573398x17666210304100043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3.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Baker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N.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Coronapod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hope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antiviral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Nov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12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https://doi.org/10.1038/d41586-021-03441-2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4.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Dwivedi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Rawat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Ranjan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Agrawal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Misra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Gupta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SK,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Kishore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Misra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S. COVID-19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Boca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Raton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CRC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; 2022.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Repurposing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Antiviral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;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 p. 74-95.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https://doi.org/10.1201/9781003190394-7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5.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Wakhlu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Manoj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Bafna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P,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Sahoo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Hazarika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K.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Repurposing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Lessons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rheumatology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Indian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Rheumatology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]. 2021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20];16(2):179.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https://doi.org/10.4103/injr.injr_323_20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6.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Jacob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Face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flow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Integrative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Pediatrics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2020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Jun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12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20];5.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https://doi.org/10.36013/ijipem.v5i1.83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7.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Pocock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Fake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Covid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Iran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20];20(3).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https://doi.org/10.5742/mewfm.2022.9525016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8.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Kanozia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Arya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R. “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Fake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news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religion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hesitancy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India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Pakistan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Bangladesh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17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20];48(4):313-21.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https://doi.org/10.1080/01296612.2021.1921963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9.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Metil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Reshetnykova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MY.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Regions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]. 2020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20];(2):130-3.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https://doi.org/10.32840/1813-338x-2020.2.22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10.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Aborode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AT,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Awuah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WA,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Talukder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Oyeyemi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Nansubuga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EP,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Machai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P,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Tillewein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H,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CI.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Fake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vaccinations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Africa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Postgraduate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Nov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23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20]: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postgradmedj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—2021-141160.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https://doi.org/10.1136/postgradmedj-2021-141160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11.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Choudhary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OP,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Priyanka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Singh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Mohammed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Rodriguez-Morales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AJ.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Fake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scams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hampering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drive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India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possibly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Immunotherapeutics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Aug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6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20]:1-2.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https://doi.org/10.1080/21645515.2021.1960770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12.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Bakker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-’t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Hart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IM,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Ohana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D,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Venhuis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BJ.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detection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falsified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Pharmaceutical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lastRenderedPageBreak/>
        <w:t>Biomedical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20];197:113948.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https://doi.org/10.1016/j.jpba.2021.113948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13.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Ahmad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Hussaan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Batool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Mumtaz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Rehman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N,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Yaqoob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Kausar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Boca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Raton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; 2022.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Distancing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Quarantine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Remedy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;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 p. 145-78.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https://doi.org/10.1201/9781003283607-7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14.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YV,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Konovalova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BY,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Agrawal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Ghosh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Reality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Emerging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Technologies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iJET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)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8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24];16(23):127-39.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https://doi.org/10.3991/ijet.v16i23.26099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15.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Y,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Stepanenko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V,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Konovalova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Physicochemical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Natures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Artifacts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MRI.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Biomedical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iJOE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)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8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24];18(03):89-100.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https://doi.org/10.3991/ijoe.v18i03.25859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16.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Tukaiev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Vasheka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Rizun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V,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Enzminger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Havrylets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Y,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Palamar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B,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Dolgova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Pravda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Makarchuk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trust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Psychiatry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Jun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20];65(S1):S378.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https://doi.org/10.1192/j.eurpsy.2022.959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17.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Abdellatif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OS,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Behbehani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Behbehani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Governmental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Response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].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unknown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]: UN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Compliance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;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https://doi.org/10.52008/ukr0501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18.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Napryeyenko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Napryeyenko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N,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Marazziti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D,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Loganovsky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K,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Mucci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Loganovskaja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T,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Y.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Depressive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Syndromes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Alcohol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Dependence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Clin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Neuropsychiatry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22];16(5-6):206-212.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https://doi: 10.36131/clinicalnpsych2019050603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19.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Holt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E.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vaccination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Lancet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Infectious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20];21(4):462.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https://doi.org/10.1016/s1473-3099(21)00156-0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20.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Dhanashri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Sachin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R. A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Herbal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Immunity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Booster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Pharmaceutical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20];11(3):206-211.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https://doi: 10.52711/2231-5691.2021.00037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21.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Vivekanandan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K,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Aishwarya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G,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Ashish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device’s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South-East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status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gap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areas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Pharmaceutical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Apr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cited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20];11(3):173-179.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https://doi: 10.52711/2231-5691.2021.00032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22.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Raza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A, &amp;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Hussain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N.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prospects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2022;31–43.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http://dx.doi.org/10.57125/fed/2022.10.11.32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Tsekhmister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Y.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post-war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reconstruction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EU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membership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FeD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2022;42–52.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http://dx.doi.org/10.57125/fed/2022.10.11.28</w:t>
      </w:r>
    </w:p>
    <w:p w:rsidR="009C6362" w:rsidRPr="009C6362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24.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Gushchyn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Kotliarenko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Panchenko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I, &amp;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Rezvorovych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, K.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Cyberlaw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status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Futurity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Economics&amp;Law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2022;4–11.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http://dx.doi.org/10.57125/fel.2022.03.25.01</w:t>
      </w:r>
    </w:p>
    <w:p w:rsidR="009C6362" w:rsidRPr="00FC41F8" w:rsidRDefault="009C6362" w:rsidP="009C6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25.   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Kumar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principle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subsidiarity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principle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EU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perspectives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Futurity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Economics&amp;Law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]. 2021;18–27.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6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C6362">
        <w:rPr>
          <w:rFonts w:ascii="Times New Roman" w:hAnsi="Times New Roman" w:cs="Times New Roman"/>
          <w:sz w:val="28"/>
          <w:szCs w:val="28"/>
          <w:lang w:val="uk-UA"/>
        </w:rPr>
        <w:t>: http://dx.doi.org/10.57125/fel.2021.12.25.03</w:t>
      </w:r>
      <w:bookmarkStart w:id="0" w:name="_GoBack"/>
      <w:bookmarkEnd w:id="0"/>
    </w:p>
    <w:sectPr w:rsidR="009C6362" w:rsidRPr="00F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D41"/>
    <w:multiLevelType w:val="hybridMultilevel"/>
    <w:tmpl w:val="E0E68874"/>
    <w:lvl w:ilvl="0" w:tplc="495EF96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4DB6F98"/>
    <w:multiLevelType w:val="hybridMultilevel"/>
    <w:tmpl w:val="C0B0C474"/>
    <w:lvl w:ilvl="0" w:tplc="CF56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000B"/>
    <w:multiLevelType w:val="hybridMultilevel"/>
    <w:tmpl w:val="013253A0"/>
    <w:lvl w:ilvl="0" w:tplc="A4D4E87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5EBC"/>
    <w:multiLevelType w:val="hybridMultilevel"/>
    <w:tmpl w:val="87A09A36"/>
    <w:lvl w:ilvl="0" w:tplc="ABA6B4A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39"/>
    <w:rsid w:val="00013B67"/>
    <w:rsid w:val="00047652"/>
    <w:rsid w:val="000665E6"/>
    <w:rsid w:val="000968C0"/>
    <w:rsid w:val="000F3CB9"/>
    <w:rsid w:val="00102C9F"/>
    <w:rsid w:val="00163381"/>
    <w:rsid w:val="0017693A"/>
    <w:rsid w:val="001D7663"/>
    <w:rsid w:val="0023794C"/>
    <w:rsid w:val="00237F54"/>
    <w:rsid w:val="00275AAC"/>
    <w:rsid w:val="00281B00"/>
    <w:rsid w:val="002C19FB"/>
    <w:rsid w:val="002E52EA"/>
    <w:rsid w:val="00323A1C"/>
    <w:rsid w:val="0033252D"/>
    <w:rsid w:val="0035103B"/>
    <w:rsid w:val="0039322B"/>
    <w:rsid w:val="003B25FA"/>
    <w:rsid w:val="003B72A4"/>
    <w:rsid w:val="003C20DA"/>
    <w:rsid w:val="003C54AB"/>
    <w:rsid w:val="003D0D07"/>
    <w:rsid w:val="003D615F"/>
    <w:rsid w:val="003F0DEB"/>
    <w:rsid w:val="003F5A39"/>
    <w:rsid w:val="0040216C"/>
    <w:rsid w:val="00457619"/>
    <w:rsid w:val="004616F1"/>
    <w:rsid w:val="00493A8E"/>
    <w:rsid w:val="004C3D66"/>
    <w:rsid w:val="00546EC8"/>
    <w:rsid w:val="00553FC2"/>
    <w:rsid w:val="00566189"/>
    <w:rsid w:val="005F5106"/>
    <w:rsid w:val="006225F8"/>
    <w:rsid w:val="00667607"/>
    <w:rsid w:val="006A1EE4"/>
    <w:rsid w:val="006A5874"/>
    <w:rsid w:val="007070DB"/>
    <w:rsid w:val="00744F81"/>
    <w:rsid w:val="007E122D"/>
    <w:rsid w:val="007F390D"/>
    <w:rsid w:val="007F6396"/>
    <w:rsid w:val="00813354"/>
    <w:rsid w:val="0083616C"/>
    <w:rsid w:val="00840DE0"/>
    <w:rsid w:val="008429B3"/>
    <w:rsid w:val="008B68C9"/>
    <w:rsid w:val="008D12CC"/>
    <w:rsid w:val="008E5762"/>
    <w:rsid w:val="008F01AF"/>
    <w:rsid w:val="0095215B"/>
    <w:rsid w:val="009657A2"/>
    <w:rsid w:val="009C6362"/>
    <w:rsid w:val="009E32AF"/>
    <w:rsid w:val="00A45609"/>
    <w:rsid w:val="00A56C6D"/>
    <w:rsid w:val="00A76761"/>
    <w:rsid w:val="00A76B27"/>
    <w:rsid w:val="00AA08CB"/>
    <w:rsid w:val="00AB4CBE"/>
    <w:rsid w:val="00AC5DEE"/>
    <w:rsid w:val="00B2598A"/>
    <w:rsid w:val="00B3027D"/>
    <w:rsid w:val="00B3088A"/>
    <w:rsid w:val="00B552FB"/>
    <w:rsid w:val="00B627B0"/>
    <w:rsid w:val="00B72AB8"/>
    <w:rsid w:val="00B83AE7"/>
    <w:rsid w:val="00BA366E"/>
    <w:rsid w:val="00BB12B2"/>
    <w:rsid w:val="00BB3E44"/>
    <w:rsid w:val="00C1033E"/>
    <w:rsid w:val="00C749C0"/>
    <w:rsid w:val="00C84CEF"/>
    <w:rsid w:val="00CB0756"/>
    <w:rsid w:val="00D036FA"/>
    <w:rsid w:val="00D05716"/>
    <w:rsid w:val="00D06715"/>
    <w:rsid w:val="00D211E6"/>
    <w:rsid w:val="00D62906"/>
    <w:rsid w:val="00D66139"/>
    <w:rsid w:val="00D749CA"/>
    <w:rsid w:val="00DE2BE1"/>
    <w:rsid w:val="00DF0606"/>
    <w:rsid w:val="00E32481"/>
    <w:rsid w:val="00E3280E"/>
    <w:rsid w:val="00F041C6"/>
    <w:rsid w:val="00F06B1F"/>
    <w:rsid w:val="00F46719"/>
    <w:rsid w:val="00F52646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C5D0"/>
  <w15:chartTrackingRefBased/>
  <w15:docId w15:val="{E4874890-1866-449D-8B1E-EAF1FFB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D66139"/>
  </w:style>
  <w:style w:type="paragraph" w:customStyle="1" w:styleId="Default">
    <w:name w:val="Default"/>
    <w:rsid w:val="00D6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C3D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3D6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C3D6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E2BE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jptonline.org/AbstractView.aspx?PID=2023-16-7-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15189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</cp:revision>
  <cp:lastPrinted>2023-03-30T11:50:00Z</cp:lastPrinted>
  <dcterms:created xsi:type="dcterms:W3CDTF">2023-03-15T13:06:00Z</dcterms:created>
  <dcterms:modified xsi:type="dcterms:W3CDTF">2023-07-27T07:05:00Z</dcterms:modified>
</cp:coreProperties>
</file>