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ADB" w:rsidRPr="00024ADB" w:rsidRDefault="00024ADB" w:rsidP="00024ADB">
      <w:pPr>
        <w:rPr>
          <w:b/>
          <w:lang w:val="uk-UA"/>
        </w:rPr>
      </w:pPr>
      <w:r>
        <w:rPr>
          <w:b/>
          <w:lang w:val="uk-UA"/>
        </w:rPr>
        <w:t>УДК: 616.311.2-002-053.2:616.33-002</w:t>
      </w:r>
    </w:p>
    <w:p w:rsidR="00024ADB" w:rsidRDefault="00024ADB" w:rsidP="00F101E5">
      <w:pPr>
        <w:jc w:val="center"/>
        <w:rPr>
          <w:b/>
        </w:rPr>
      </w:pPr>
    </w:p>
    <w:p w:rsidR="00932959" w:rsidRPr="008435E9" w:rsidRDefault="00F101E5" w:rsidP="00F101E5">
      <w:pPr>
        <w:jc w:val="center"/>
        <w:rPr>
          <w:b/>
        </w:rPr>
      </w:pPr>
      <w:r w:rsidRPr="008435E9">
        <w:rPr>
          <w:b/>
        </w:rPr>
        <w:t xml:space="preserve">EVALUATION </w:t>
      </w:r>
      <w:r w:rsidR="00902F02" w:rsidRPr="008435E9">
        <w:rPr>
          <w:b/>
          <w:lang w:val="en-US"/>
        </w:rPr>
        <w:t xml:space="preserve">INDEX </w:t>
      </w:r>
      <w:r w:rsidRPr="008435E9">
        <w:rPr>
          <w:b/>
        </w:rPr>
        <w:t>OF PERIODONTAL TISSUES CONDITION IN TEENAGERS WITH CHRONIC GASTRITIS</w:t>
      </w:r>
    </w:p>
    <w:p w:rsidR="00F101E5" w:rsidRDefault="00F101E5" w:rsidP="00F101E5">
      <w:pPr>
        <w:jc w:val="center"/>
      </w:pPr>
    </w:p>
    <w:p w:rsidR="00F101E5" w:rsidRDefault="00F101E5" w:rsidP="00F101E5">
      <w:pPr>
        <w:jc w:val="center"/>
      </w:pPr>
      <w:r>
        <w:t xml:space="preserve">V.S. </w:t>
      </w:r>
      <w:proofErr w:type="spellStart"/>
      <w:r>
        <w:t>Mel'nyk</w:t>
      </w:r>
      <w:proofErr w:type="spellEnd"/>
      <w:r>
        <w:t xml:space="preserve">, L.F. </w:t>
      </w:r>
      <w:proofErr w:type="spellStart"/>
      <w:r>
        <w:t>Horzov</w:t>
      </w:r>
      <w:proofErr w:type="spellEnd"/>
    </w:p>
    <w:p w:rsidR="00F101E5" w:rsidRDefault="00F101E5" w:rsidP="00F101E5">
      <w:pPr>
        <w:jc w:val="center"/>
      </w:pPr>
    </w:p>
    <w:p w:rsidR="00F101E5" w:rsidRDefault="00F101E5" w:rsidP="00F101E5">
      <w:pPr>
        <w:jc w:val="both"/>
      </w:pPr>
      <w:proofErr w:type="spellStart"/>
      <w:r>
        <w:t>Children</w:t>
      </w:r>
      <w:proofErr w:type="spellEnd"/>
      <w:r>
        <w:t xml:space="preserve"> </w:t>
      </w:r>
      <w:proofErr w:type="spellStart"/>
      <w:r>
        <w:t>Dentistry</w:t>
      </w:r>
      <w:proofErr w:type="spellEnd"/>
      <w:r>
        <w:t xml:space="preserve"> </w:t>
      </w:r>
      <w:proofErr w:type="spellStart"/>
      <w:r>
        <w:t>Departmen</w:t>
      </w:r>
      <w:proofErr w:type="spellEnd"/>
      <w:r>
        <w:t xml:space="preserve">, </w:t>
      </w:r>
      <w:proofErr w:type="spellStart"/>
      <w:r>
        <w:t>State</w:t>
      </w:r>
      <w:proofErr w:type="spellEnd"/>
      <w:r>
        <w:t xml:space="preserve"> </w:t>
      </w:r>
      <w:proofErr w:type="spellStart"/>
      <w:r>
        <w:t>Higher</w:t>
      </w:r>
      <w:proofErr w:type="spellEnd"/>
      <w:r>
        <w:t xml:space="preserve"> </w:t>
      </w:r>
      <w:proofErr w:type="spellStart"/>
      <w:r>
        <w:t>Educational</w:t>
      </w:r>
      <w:proofErr w:type="spellEnd"/>
      <w:r>
        <w:t xml:space="preserve"> </w:t>
      </w:r>
      <w:proofErr w:type="spellStart"/>
      <w:r>
        <w:t>Establishment</w:t>
      </w:r>
      <w:proofErr w:type="spellEnd"/>
      <w:r>
        <w:t xml:space="preserve"> «</w:t>
      </w:r>
      <w:proofErr w:type="spellStart"/>
      <w:r>
        <w:t>Uzhgorod</w:t>
      </w:r>
      <w:proofErr w:type="spellEnd"/>
      <w:r>
        <w:t xml:space="preserve"> </w:t>
      </w:r>
      <w:proofErr w:type="spellStart"/>
      <w:r>
        <w:t>National</w:t>
      </w:r>
      <w:proofErr w:type="spellEnd"/>
      <w:r>
        <w:t xml:space="preserve"> </w:t>
      </w:r>
      <w:proofErr w:type="spellStart"/>
      <w:r>
        <w:t>University</w:t>
      </w:r>
      <w:proofErr w:type="spellEnd"/>
      <w:r>
        <w:t xml:space="preserve">», </w:t>
      </w:r>
      <w:proofErr w:type="spellStart"/>
      <w:r>
        <w:t>Uzhgorod</w:t>
      </w:r>
      <w:proofErr w:type="spellEnd"/>
      <w:r>
        <w:t xml:space="preserve">, </w:t>
      </w:r>
      <w:proofErr w:type="spellStart"/>
      <w:r>
        <w:t>Ukraine</w:t>
      </w:r>
      <w:proofErr w:type="spellEnd"/>
    </w:p>
    <w:p w:rsidR="00F101E5" w:rsidRDefault="00F101E5" w:rsidP="00F101E5">
      <w:pPr>
        <w:jc w:val="both"/>
      </w:pPr>
    </w:p>
    <w:p w:rsidR="00C830BA" w:rsidRDefault="00902F02" w:rsidP="00C830BA">
      <w:pPr>
        <w:jc w:val="both"/>
      </w:pPr>
      <w:proofErr w:type="spellStart"/>
      <w:r w:rsidRPr="007950CA">
        <w:rPr>
          <w:b/>
        </w:rPr>
        <w:t>Summary</w:t>
      </w:r>
      <w:proofErr w:type="spellEnd"/>
      <w:r w:rsidRPr="007950CA">
        <w:rPr>
          <w:b/>
        </w:rPr>
        <w:t>:</w:t>
      </w:r>
      <w:r>
        <w:t xml:space="preserve"> </w:t>
      </w:r>
      <w:proofErr w:type="spellStart"/>
      <w:r w:rsidR="00915C56" w:rsidRPr="00915C56">
        <w:t>The</w:t>
      </w:r>
      <w:proofErr w:type="spellEnd"/>
      <w:r w:rsidR="00915C56" w:rsidRPr="00915C56">
        <w:t xml:space="preserve"> </w:t>
      </w:r>
      <w:proofErr w:type="spellStart"/>
      <w:r w:rsidR="00915C56" w:rsidRPr="00915C56">
        <w:t>results</w:t>
      </w:r>
      <w:proofErr w:type="spellEnd"/>
      <w:r w:rsidR="00915C56" w:rsidRPr="00915C56">
        <w:t xml:space="preserve"> </w:t>
      </w:r>
      <w:proofErr w:type="spellStart"/>
      <w:r w:rsidR="00915C56" w:rsidRPr="00915C56">
        <w:t>of</w:t>
      </w:r>
      <w:proofErr w:type="spellEnd"/>
      <w:r w:rsidR="00915C56" w:rsidRPr="00915C56">
        <w:t xml:space="preserve"> </w:t>
      </w:r>
      <w:proofErr w:type="spellStart"/>
      <w:r w:rsidR="00915C56" w:rsidRPr="00915C56">
        <w:t>dental</w:t>
      </w:r>
      <w:proofErr w:type="spellEnd"/>
      <w:r w:rsidR="00915C56" w:rsidRPr="00915C56">
        <w:t xml:space="preserve"> </w:t>
      </w:r>
      <w:proofErr w:type="spellStart"/>
      <w:r w:rsidR="00915C56" w:rsidRPr="00915C56">
        <w:t>examination</w:t>
      </w:r>
      <w:proofErr w:type="spellEnd"/>
      <w:r w:rsidR="00915C56" w:rsidRPr="00915C56">
        <w:t xml:space="preserve"> </w:t>
      </w:r>
      <w:proofErr w:type="spellStart"/>
      <w:r w:rsidR="00915C56" w:rsidRPr="00915C56">
        <w:t>of</w:t>
      </w:r>
      <w:proofErr w:type="spellEnd"/>
      <w:r w:rsidR="00915C56" w:rsidRPr="00915C56">
        <w:t xml:space="preserve"> 108 </w:t>
      </w:r>
      <w:proofErr w:type="spellStart"/>
      <w:r w:rsidR="00915C56" w:rsidRPr="00915C56">
        <w:t>children</w:t>
      </w:r>
      <w:proofErr w:type="spellEnd"/>
      <w:r w:rsidR="00915C56" w:rsidRPr="00915C56">
        <w:t xml:space="preserve"> </w:t>
      </w:r>
      <w:proofErr w:type="spellStart"/>
      <w:r w:rsidR="00915C56" w:rsidRPr="00915C56">
        <w:t>with</w:t>
      </w:r>
      <w:proofErr w:type="spellEnd"/>
      <w:r w:rsidR="00915C56" w:rsidRPr="00915C56">
        <w:t xml:space="preserve"> </w:t>
      </w:r>
      <w:proofErr w:type="spellStart"/>
      <w:r w:rsidR="00915C56" w:rsidRPr="00915C56">
        <w:t>chronic</w:t>
      </w:r>
      <w:proofErr w:type="spellEnd"/>
      <w:r w:rsidR="00915C56" w:rsidRPr="00915C56">
        <w:t xml:space="preserve"> </w:t>
      </w:r>
      <w:proofErr w:type="spellStart"/>
      <w:r w:rsidR="00915C56" w:rsidRPr="00915C56">
        <w:t>gastritis</w:t>
      </w:r>
      <w:proofErr w:type="spellEnd"/>
      <w:r w:rsidR="00915C56" w:rsidRPr="00915C56">
        <w:t xml:space="preserve">, </w:t>
      </w:r>
      <w:proofErr w:type="spellStart"/>
      <w:r w:rsidR="00915C56" w:rsidRPr="00915C56">
        <w:t>at</w:t>
      </w:r>
      <w:proofErr w:type="spellEnd"/>
      <w:r w:rsidR="00915C56" w:rsidRPr="00915C56">
        <w:t xml:space="preserve"> </w:t>
      </w:r>
      <w:proofErr w:type="spellStart"/>
      <w:r w:rsidR="00915C56" w:rsidRPr="00915C56">
        <w:t>the</w:t>
      </w:r>
      <w:proofErr w:type="spellEnd"/>
      <w:r w:rsidR="00915C56" w:rsidRPr="00915C56">
        <w:t xml:space="preserve"> </w:t>
      </w:r>
      <w:proofErr w:type="spellStart"/>
      <w:r w:rsidR="00915C56" w:rsidRPr="00915C56">
        <w:t>age</w:t>
      </w:r>
      <w:proofErr w:type="spellEnd"/>
      <w:r w:rsidR="00915C56" w:rsidRPr="00915C56">
        <w:t xml:space="preserve"> </w:t>
      </w:r>
      <w:proofErr w:type="spellStart"/>
      <w:r w:rsidR="00915C56" w:rsidRPr="00915C56">
        <w:t>of</w:t>
      </w:r>
      <w:proofErr w:type="spellEnd"/>
      <w:r w:rsidR="00915C56" w:rsidRPr="00915C56">
        <w:t xml:space="preserve"> 12-17 </w:t>
      </w:r>
      <w:proofErr w:type="spellStart"/>
      <w:r w:rsidR="00915C56" w:rsidRPr="00915C56">
        <w:t>years</w:t>
      </w:r>
      <w:proofErr w:type="spellEnd"/>
      <w:r w:rsidR="00915C56" w:rsidRPr="00915C56">
        <w:t xml:space="preserve"> (</w:t>
      </w:r>
      <w:proofErr w:type="spellStart"/>
      <w:r w:rsidR="00915C56" w:rsidRPr="00915C56">
        <w:t>m</w:t>
      </w:r>
      <w:r w:rsidR="007950CA">
        <w:t>ain</w:t>
      </w:r>
      <w:proofErr w:type="spellEnd"/>
      <w:r w:rsidR="007950CA">
        <w:t xml:space="preserve"> </w:t>
      </w:r>
      <w:proofErr w:type="spellStart"/>
      <w:r w:rsidR="007950CA">
        <w:t>group</w:t>
      </w:r>
      <w:proofErr w:type="spellEnd"/>
      <w:r w:rsidR="007950CA">
        <w:t xml:space="preserve">) </w:t>
      </w:r>
      <w:proofErr w:type="spellStart"/>
      <w:r w:rsidR="007950CA">
        <w:t>and</w:t>
      </w:r>
      <w:proofErr w:type="spellEnd"/>
      <w:r w:rsidR="007950CA">
        <w:t xml:space="preserve"> 83 </w:t>
      </w:r>
      <w:proofErr w:type="spellStart"/>
      <w:r w:rsidR="007950CA">
        <w:t>of</w:t>
      </w:r>
      <w:proofErr w:type="spellEnd"/>
      <w:r w:rsidR="007950CA">
        <w:t xml:space="preserve"> </w:t>
      </w:r>
      <w:proofErr w:type="spellStart"/>
      <w:r w:rsidR="007950CA">
        <w:t>the</w:t>
      </w:r>
      <w:proofErr w:type="spellEnd"/>
      <w:r w:rsidR="007950CA">
        <w:t xml:space="preserve"> </w:t>
      </w:r>
      <w:proofErr w:type="spellStart"/>
      <w:r w:rsidR="007950CA">
        <w:t>same</w:t>
      </w:r>
      <w:proofErr w:type="spellEnd"/>
      <w:r w:rsidR="007950CA">
        <w:t xml:space="preserve"> </w:t>
      </w:r>
      <w:proofErr w:type="spellStart"/>
      <w:r w:rsidR="007950CA">
        <w:t>age</w:t>
      </w:r>
      <w:proofErr w:type="spellEnd"/>
      <w:r w:rsidR="00915C56" w:rsidRPr="00915C56">
        <w:t xml:space="preserve"> </w:t>
      </w:r>
      <w:proofErr w:type="spellStart"/>
      <w:r w:rsidR="00915C56" w:rsidRPr="00915C56">
        <w:t>without</w:t>
      </w:r>
      <w:proofErr w:type="spellEnd"/>
      <w:r w:rsidR="00915C56" w:rsidRPr="00915C56">
        <w:t xml:space="preserve"> </w:t>
      </w:r>
      <w:proofErr w:type="spellStart"/>
      <w:r w:rsidR="00915C56" w:rsidRPr="00915C56">
        <w:t>concomitant</w:t>
      </w:r>
      <w:proofErr w:type="spellEnd"/>
      <w:r w:rsidR="00915C56" w:rsidRPr="00915C56">
        <w:t xml:space="preserve"> </w:t>
      </w:r>
      <w:proofErr w:type="spellStart"/>
      <w:r w:rsidR="00915C56" w:rsidRPr="00915C56">
        <w:t>somatic</w:t>
      </w:r>
      <w:proofErr w:type="spellEnd"/>
      <w:r w:rsidR="00915C56" w:rsidRPr="00915C56">
        <w:t xml:space="preserve"> </w:t>
      </w:r>
      <w:proofErr w:type="spellStart"/>
      <w:r w:rsidR="00915C56" w:rsidRPr="00915C56">
        <w:t>pathology</w:t>
      </w:r>
      <w:proofErr w:type="spellEnd"/>
      <w:r w:rsidR="00915C56" w:rsidRPr="00915C56">
        <w:t xml:space="preserve">, </w:t>
      </w:r>
      <w:proofErr w:type="spellStart"/>
      <w:r w:rsidR="00915C56" w:rsidRPr="00915C56">
        <w:t>patients</w:t>
      </w:r>
      <w:proofErr w:type="spellEnd"/>
      <w:r w:rsidR="00915C56" w:rsidRPr="00915C56">
        <w:t xml:space="preserve"> </w:t>
      </w:r>
      <w:proofErr w:type="spellStart"/>
      <w:r w:rsidR="00915C56" w:rsidRPr="00915C56">
        <w:t>with</w:t>
      </w:r>
      <w:proofErr w:type="spellEnd"/>
      <w:r w:rsidR="00915C56" w:rsidRPr="00915C56">
        <w:t xml:space="preserve"> </w:t>
      </w:r>
      <w:proofErr w:type="spellStart"/>
      <w:r w:rsidR="00915C56" w:rsidRPr="00915C56">
        <w:t>chronic</w:t>
      </w:r>
      <w:proofErr w:type="spellEnd"/>
      <w:r w:rsidR="00915C56" w:rsidRPr="00915C56">
        <w:t xml:space="preserve"> </w:t>
      </w:r>
      <w:proofErr w:type="spellStart"/>
      <w:r w:rsidR="00915C56" w:rsidRPr="00915C56">
        <w:t>catarrhal</w:t>
      </w:r>
      <w:proofErr w:type="spellEnd"/>
      <w:r w:rsidR="00915C56" w:rsidRPr="00915C56">
        <w:t xml:space="preserve"> </w:t>
      </w:r>
      <w:proofErr w:type="spellStart"/>
      <w:r w:rsidR="00915C56" w:rsidRPr="00915C56">
        <w:t>gingivitis</w:t>
      </w:r>
      <w:proofErr w:type="spellEnd"/>
      <w:r w:rsidR="00915C56" w:rsidRPr="00915C56">
        <w:t xml:space="preserve"> (</w:t>
      </w:r>
      <w:proofErr w:type="spellStart"/>
      <w:r w:rsidR="00915C56" w:rsidRPr="00915C56">
        <w:t>comparative</w:t>
      </w:r>
      <w:proofErr w:type="spellEnd"/>
      <w:r w:rsidR="00915C56" w:rsidRPr="00915C56">
        <w:t xml:space="preserve"> </w:t>
      </w:r>
      <w:proofErr w:type="spellStart"/>
      <w:r w:rsidR="00915C56" w:rsidRPr="00915C56">
        <w:t>group</w:t>
      </w:r>
      <w:proofErr w:type="spellEnd"/>
      <w:r w:rsidR="00915C56" w:rsidRPr="00915C56">
        <w:t xml:space="preserve">). </w:t>
      </w:r>
      <w:proofErr w:type="spellStart"/>
      <w:r w:rsidR="00915C56" w:rsidRPr="00915C56">
        <w:t>The</w:t>
      </w:r>
      <w:proofErr w:type="spellEnd"/>
      <w:r w:rsidR="00915C56" w:rsidRPr="00915C56">
        <w:t xml:space="preserve"> </w:t>
      </w:r>
      <w:proofErr w:type="spellStart"/>
      <w:r w:rsidR="00915C56" w:rsidRPr="00915C56">
        <w:t>results</w:t>
      </w:r>
      <w:proofErr w:type="spellEnd"/>
      <w:r w:rsidR="00915C56" w:rsidRPr="00915C56">
        <w:t xml:space="preserve"> </w:t>
      </w:r>
      <w:proofErr w:type="spellStart"/>
      <w:r w:rsidR="00915C56" w:rsidRPr="00915C56">
        <w:t>of</w:t>
      </w:r>
      <w:proofErr w:type="spellEnd"/>
      <w:r w:rsidR="00915C56" w:rsidRPr="00915C56">
        <w:t xml:space="preserve"> </w:t>
      </w:r>
      <w:proofErr w:type="spellStart"/>
      <w:r w:rsidR="00915C56" w:rsidRPr="00915C56">
        <w:t>the</w:t>
      </w:r>
      <w:proofErr w:type="spellEnd"/>
      <w:r w:rsidR="00915C56" w:rsidRPr="00915C56">
        <w:t xml:space="preserve"> </w:t>
      </w:r>
      <w:proofErr w:type="spellStart"/>
      <w:r w:rsidR="00915C56" w:rsidRPr="00915C56">
        <w:t>studies</w:t>
      </w:r>
      <w:proofErr w:type="spellEnd"/>
      <w:r w:rsidR="00915C56" w:rsidRPr="00915C56">
        <w:t xml:space="preserve"> </w:t>
      </w:r>
      <w:proofErr w:type="spellStart"/>
      <w:r w:rsidR="00915C56" w:rsidRPr="00915C56">
        <w:t>found</w:t>
      </w:r>
      <w:proofErr w:type="spellEnd"/>
      <w:r w:rsidR="00915C56" w:rsidRPr="00915C56">
        <w:t xml:space="preserve"> </w:t>
      </w:r>
      <w:proofErr w:type="spellStart"/>
      <w:r w:rsidR="00915C56" w:rsidRPr="00915C56">
        <w:t>that</w:t>
      </w:r>
      <w:proofErr w:type="spellEnd"/>
      <w:r w:rsidR="00915C56" w:rsidRPr="00915C56">
        <w:t xml:space="preserve"> PMA </w:t>
      </w:r>
      <w:proofErr w:type="spellStart"/>
      <w:r w:rsidR="00915C56" w:rsidRPr="00915C56">
        <w:t>index</w:t>
      </w:r>
      <w:proofErr w:type="spellEnd"/>
      <w:r w:rsidR="00915C56" w:rsidRPr="00915C56">
        <w:t xml:space="preserve"> </w:t>
      </w:r>
      <w:proofErr w:type="spellStart"/>
      <w:r w:rsidR="00915C56" w:rsidRPr="00915C56">
        <w:t>and</w:t>
      </w:r>
      <w:proofErr w:type="spellEnd"/>
      <w:r w:rsidR="00915C56" w:rsidRPr="00915C56">
        <w:t xml:space="preserve"> </w:t>
      </w:r>
      <w:proofErr w:type="spellStart"/>
      <w:r w:rsidR="00915C56" w:rsidRPr="00915C56">
        <w:t>the</w:t>
      </w:r>
      <w:proofErr w:type="spellEnd"/>
      <w:r w:rsidR="00915C56" w:rsidRPr="00915C56">
        <w:t xml:space="preserve"> </w:t>
      </w:r>
      <w:proofErr w:type="spellStart"/>
      <w:r w:rsidR="00915C56" w:rsidRPr="00915C56">
        <w:t>index</w:t>
      </w:r>
      <w:proofErr w:type="spellEnd"/>
      <w:r w:rsidR="00915C56" w:rsidRPr="00915C56">
        <w:t xml:space="preserve"> </w:t>
      </w:r>
      <w:proofErr w:type="spellStart"/>
      <w:r w:rsidR="00915C56" w:rsidRPr="00915C56">
        <w:t>of</w:t>
      </w:r>
      <w:proofErr w:type="spellEnd"/>
      <w:r w:rsidR="00915C56" w:rsidRPr="00915C56">
        <w:t xml:space="preserve"> </w:t>
      </w:r>
      <w:proofErr w:type="spellStart"/>
      <w:r w:rsidR="00915C56" w:rsidRPr="00915C56">
        <w:t>gingival</w:t>
      </w:r>
      <w:proofErr w:type="spellEnd"/>
      <w:r w:rsidR="00915C56" w:rsidRPr="00915C56">
        <w:t xml:space="preserve"> </w:t>
      </w:r>
      <w:proofErr w:type="spellStart"/>
      <w:r w:rsidR="00915C56" w:rsidRPr="00915C56">
        <w:t>hemorrhage</w:t>
      </w:r>
      <w:proofErr w:type="spellEnd"/>
      <w:r w:rsidR="00915C56" w:rsidRPr="00915C56">
        <w:t xml:space="preserve"> </w:t>
      </w:r>
      <w:proofErr w:type="spellStart"/>
      <w:r w:rsidR="00915C56" w:rsidRPr="00915C56">
        <w:t>in</w:t>
      </w:r>
      <w:proofErr w:type="spellEnd"/>
      <w:r w:rsidR="00915C56" w:rsidRPr="00915C56">
        <w:t xml:space="preserve"> </w:t>
      </w:r>
      <w:proofErr w:type="spellStart"/>
      <w:r w:rsidR="00915C56" w:rsidRPr="00915C56">
        <w:t>children</w:t>
      </w:r>
      <w:proofErr w:type="spellEnd"/>
      <w:r w:rsidR="00915C56" w:rsidRPr="00915C56">
        <w:t xml:space="preserve"> </w:t>
      </w:r>
      <w:proofErr w:type="spellStart"/>
      <w:r w:rsidR="00915C56" w:rsidRPr="00915C56">
        <w:t>of</w:t>
      </w:r>
      <w:proofErr w:type="spellEnd"/>
      <w:r w:rsidR="00915C56" w:rsidRPr="00915C56">
        <w:t xml:space="preserve"> </w:t>
      </w:r>
      <w:proofErr w:type="spellStart"/>
      <w:r w:rsidR="00915C56" w:rsidRPr="00915C56">
        <w:t>the</w:t>
      </w:r>
      <w:proofErr w:type="spellEnd"/>
      <w:r w:rsidR="00915C56" w:rsidRPr="00915C56">
        <w:t xml:space="preserve"> </w:t>
      </w:r>
      <w:proofErr w:type="spellStart"/>
      <w:r w:rsidR="00915C56" w:rsidRPr="00915C56">
        <w:t>main</w:t>
      </w:r>
      <w:proofErr w:type="spellEnd"/>
      <w:r w:rsidR="00915C56" w:rsidRPr="00915C56">
        <w:t xml:space="preserve"> </w:t>
      </w:r>
      <w:proofErr w:type="spellStart"/>
      <w:r w:rsidR="00915C56" w:rsidRPr="00915C56">
        <w:t>group</w:t>
      </w:r>
      <w:proofErr w:type="spellEnd"/>
      <w:r w:rsidR="00915C56" w:rsidRPr="00915C56">
        <w:t xml:space="preserve"> </w:t>
      </w:r>
      <w:proofErr w:type="spellStart"/>
      <w:r w:rsidR="00915C56" w:rsidRPr="00915C56">
        <w:t>obtained</w:t>
      </w:r>
      <w:proofErr w:type="spellEnd"/>
      <w:r w:rsidR="00915C56" w:rsidRPr="00915C56">
        <w:t xml:space="preserve"> </w:t>
      </w:r>
      <w:proofErr w:type="spellStart"/>
      <w:r w:rsidR="00915C56" w:rsidRPr="00915C56">
        <w:t>higher</w:t>
      </w:r>
      <w:proofErr w:type="spellEnd"/>
      <w:r w:rsidR="00915C56" w:rsidRPr="00915C56">
        <w:t xml:space="preserve"> </w:t>
      </w:r>
      <w:proofErr w:type="spellStart"/>
      <w:r w:rsidR="00915C56" w:rsidRPr="00915C56">
        <w:t>indicators</w:t>
      </w:r>
      <w:proofErr w:type="spellEnd"/>
      <w:r w:rsidR="00915C56" w:rsidRPr="00915C56">
        <w:t xml:space="preserve"> </w:t>
      </w:r>
      <w:proofErr w:type="spellStart"/>
      <w:r w:rsidR="00915C56" w:rsidRPr="00915C56">
        <w:t>in</w:t>
      </w:r>
      <w:proofErr w:type="spellEnd"/>
      <w:r w:rsidR="00915C56" w:rsidRPr="00915C56">
        <w:t xml:space="preserve"> </w:t>
      </w:r>
      <w:proofErr w:type="spellStart"/>
      <w:r w:rsidR="00915C56" w:rsidRPr="00915C56">
        <w:t>all</w:t>
      </w:r>
      <w:proofErr w:type="spellEnd"/>
      <w:r w:rsidR="00915C56" w:rsidRPr="00915C56">
        <w:t xml:space="preserve"> </w:t>
      </w:r>
      <w:proofErr w:type="spellStart"/>
      <w:r w:rsidR="00915C56" w:rsidRPr="00915C56">
        <w:t>age</w:t>
      </w:r>
      <w:proofErr w:type="spellEnd"/>
      <w:r w:rsidR="00915C56" w:rsidRPr="00915C56">
        <w:t xml:space="preserve"> </w:t>
      </w:r>
      <w:proofErr w:type="spellStart"/>
      <w:r w:rsidR="00915C56" w:rsidRPr="00915C56">
        <w:t>ranges</w:t>
      </w:r>
      <w:proofErr w:type="spellEnd"/>
      <w:r w:rsidR="00915C56" w:rsidRPr="00915C56">
        <w:t xml:space="preserve"> </w:t>
      </w:r>
      <w:proofErr w:type="spellStart"/>
      <w:r w:rsidR="00915C56" w:rsidRPr="00915C56">
        <w:t>relative</w:t>
      </w:r>
      <w:proofErr w:type="spellEnd"/>
      <w:r w:rsidR="00915C56" w:rsidRPr="00915C56">
        <w:t xml:space="preserve"> </w:t>
      </w:r>
      <w:proofErr w:type="spellStart"/>
      <w:r w:rsidR="00915C56" w:rsidRPr="00915C56">
        <w:t>to</w:t>
      </w:r>
      <w:proofErr w:type="spellEnd"/>
      <w:r w:rsidR="00915C56" w:rsidRPr="00915C56">
        <w:t xml:space="preserve"> </w:t>
      </w:r>
      <w:proofErr w:type="spellStart"/>
      <w:r w:rsidR="00915C56" w:rsidRPr="00915C56">
        <w:t>the</w:t>
      </w:r>
      <w:proofErr w:type="spellEnd"/>
      <w:r w:rsidR="00915C56" w:rsidRPr="00915C56">
        <w:t xml:space="preserve"> </w:t>
      </w:r>
      <w:proofErr w:type="spellStart"/>
      <w:r w:rsidR="00915C56" w:rsidRPr="00915C56">
        <w:t>comparison</w:t>
      </w:r>
      <w:proofErr w:type="spellEnd"/>
      <w:r w:rsidR="00915C56" w:rsidRPr="00915C56">
        <w:t xml:space="preserve"> </w:t>
      </w:r>
      <w:proofErr w:type="spellStart"/>
      <w:r w:rsidR="00915C56" w:rsidRPr="00915C56">
        <w:t>group</w:t>
      </w:r>
      <w:proofErr w:type="spellEnd"/>
      <w:r w:rsidR="00915C56" w:rsidRPr="00915C56">
        <w:t xml:space="preserve">, </w:t>
      </w:r>
      <w:proofErr w:type="spellStart"/>
      <w:r w:rsidR="00915C56" w:rsidRPr="00915C56">
        <w:t>whic</w:t>
      </w:r>
      <w:r w:rsidR="00915C56">
        <w:t>h</w:t>
      </w:r>
      <w:proofErr w:type="spellEnd"/>
      <w:r w:rsidR="00915C56">
        <w:t xml:space="preserve"> </w:t>
      </w:r>
      <w:proofErr w:type="spellStart"/>
      <w:r w:rsidR="00915C56">
        <w:t>may</w:t>
      </w:r>
      <w:proofErr w:type="spellEnd"/>
      <w:r w:rsidR="00915C56">
        <w:t xml:space="preserve"> </w:t>
      </w:r>
      <w:proofErr w:type="spellStart"/>
      <w:r w:rsidR="00915C56">
        <w:t>be</w:t>
      </w:r>
      <w:proofErr w:type="spellEnd"/>
      <w:r w:rsidR="00915C56">
        <w:t xml:space="preserve"> </w:t>
      </w:r>
      <w:proofErr w:type="spellStart"/>
      <w:r w:rsidR="00915C56">
        <w:t>caused</w:t>
      </w:r>
      <w:proofErr w:type="spellEnd"/>
      <w:r w:rsidR="00915C56">
        <w:t xml:space="preserve"> </w:t>
      </w:r>
      <w:proofErr w:type="spellStart"/>
      <w:r w:rsidR="00915C56">
        <w:t>by</w:t>
      </w:r>
      <w:proofErr w:type="spellEnd"/>
      <w:r w:rsidR="00915C56">
        <w:t xml:space="preserve"> a </w:t>
      </w:r>
      <w:proofErr w:type="spellStart"/>
      <w:r w:rsidR="00915C56" w:rsidRPr="00915C56">
        <w:t>child</w:t>
      </w:r>
      <w:proofErr w:type="spellEnd"/>
      <w:r w:rsidR="00915C56" w:rsidRPr="00915C56">
        <w:t xml:space="preserve"> </w:t>
      </w:r>
      <w:proofErr w:type="spellStart"/>
      <w:r w:rsidR="00915C56" w:rsidRPr="00915C56">
        <w:t>physical</w:t>
      </w:r>
      <w:proofErr w:type="spellEnd"/>
      <w:r w:rsidR="00915C56" w:rsidRPr="00915C56">
        <w:t xml:space="preserve"> </w:t>
      </w:r>
      <w:proofErr w:type="spellStart"/>
      <w:r w:rsidR="00915C56" w:rsidRPr="00915C56">
        <w:t>illness</w:t>
      </w:r>
      <w:proofErr w:type="spellEnd"/>
      <w:r w:rsidR="00915C56" w:rsidRPr="00915C56">
        <w:t>.</w:t>
      </w:r>
    </w:p>
    <w:p w:rsidR="00C830BA" w:rsidRPr="00C830BA" w:rsidRDefault="00C830BA" w:rsidP="00C830BA">
      <w:pPr>
        <w:jc w:val="both"/>
      </w:pPr>
    </w:p>
    <w:p w:rsidR="00C830BA" w:rsidRPr="00C830BA" w:rsidRDefault="00C830BA" w:rsidP="00C830BA">
      <w:pPr>
        <w:widowControl w:val="0"/>
        <w:autoSpaceDE w:val="0"/>
        <w:autoSpaceDN w:val="0"/>
        <w:adjustRightInd w:val="0"/>
        <w:spacing w:after="240"/>
        <w:rPr>
          <w:rFonts w:cs="Times"/>
          <w:lang w:val="en-US"/>
        </w:rPr>
      </w:pPr>
      <w:r w:rsidRPr="00C830BA">
        <w:rPr>
          <w:rFonts w:cs="Times"/>
          <w:b/>
          <w:bCs/>
          <w:lang w:val="en-US"/>
        </w:rPr>
        <w:t xml:space="preserve">Key words: </w:t>
      </w:r>
      <w:r>
        <w:rPr>
          <w:rFonts w:cs="Times"/>
          <w:lang w:val="en-US"/>
        </w:rPr>
        <w:t>chronic gastritis</w:t>
      </w:r>
      <w:r w:rsidRPr="00C830BA">
        <w:rPr>
          <w:rFonts w:cs="Times"/>
          <w:lang w:val="en-US"/>
        </w:rPr>
        <w:t xml:space="preserve">, chronic catarrhal gingivitis, </w:t>
      </w:r>
      <w:proofErr w:type="gramStart"/>
      <w:r w:rsidRPr="00C830BA">
        <w:rPr>
          <w:rFonts w:cs="Times"/>
          <w:lang w:val="en-US"/>
        </w:rPr>
        <w:t>periodontal</w:t>
      </w:r>
      <w:proofErr w:type="gramEnd"/>
      <w:r w:rsidRPr="00C830BA">
        <w:rPr>
          <w:rFonts w:cs="Times"/>
          <w:lang w:val="en-US"/>
        </w:rPr>
        <w:t xml:space="preserve"> indices.</w:t>
      </w:r>
    </w:p>
    <w:p w:rsidR="00915C56" w:rsidRDefault="00902F02" w:rsidP="00915C56">
      <w:pPr>
        <w:widowControl w:val="0"/>
        <w:autoSpaceDE w:val="0"/>
        <w:autoSpaceDN w:val="0"/>
        <w:adjustRightInd w:val="0"/>
        <w:spacing w:after="240"/>
        <w:jc w:val="both"/>
        <w:rPr>
          <w:rFonts w:cs="Times"/>
          <w:lang w:val="en-US"/>
        </w:rPr>
      </w:pPr>
      <w:r w:rsidRPr="007950CA">
        <w:rPr>
          <w:b/>
          <w:lang w:val="en-US"/>
        </w:rPr>
        <w:t>Introduction.</w:t>
      </w:r>
      <w:r>
        <w:rPr>
          <w:lang w:val="en-US"/>
        </w:rPr>
        <w:t xml:space="preserve"> </w:t>
      </w:r>
      <w:r w:rsidR="00915C56" w:rsidRPr="00915C56">
        <w:rPr>
          <w:rFonts w:cs="Times"/>
          <w:lang w:val="en-US"/>
        </w:rPr>
        <w:t>Periodontal disease is one of unresolved problems of the modern pediatric dentistry taking into account wide prevalence and harmful impact of this disease on the body. In Ukraine, the prevalence of inflammatory periodontal diseases ranges from 75% to 90%.</w:t>
      </w:r>
      <w:r w:rsidR="00915C56">
        <w:rPr>
          <w:rFonts w:cs="Times"/>
          <w:lang w:val="en-US"/>
        </w:rPr>
        <w:t xml:space="preserve"> </w:t>
      </w:r>
      <w:r w:rsidR="00915C56" w:rsidRPr="00915C56">
        <w:rPr>
          <w:rFonts w:cs="Times"/>
          <w:lang w:val="en-US"/>
        </w:rPr>
        <w:t>The most often defeats of the periodontal tissues in child’s are diagnosed on the background of somatic pathology.</w:t>
      </w:r>
      <w:r w:rsidR="007950CA" w:rsidRPr="007950CA">
        <w:t xml:space="preserve"> </w:t>
      </w:r>
      <w:r w:rsidR="007950CA">
        <w:rPr>
          <w:rFonts w:cs="Times"/>
          <w:lang w:val="en-US"/>
        </w:rPr>
        <w:t>W</w:t>
      </w:r>
      <w:r w:rsidR="007950CA" w:rsidRPr="007950CA">
        <w:rPr>
          <w:rFonts w:cs="Times"/>
          <w:lang w:val="en-US"/>
        </w:rPr>
        <w:t>idespread</w:t>
      </w:r>
      <w:r w:rsidR="007950CA">
        <w:rPr>
          <w:rFonts w:cs="Times"/>
          <w:lang w:val="en-US"/>
        </w:rPr>
        <w:t>,</w:t>
      </w:r>
      <w:r w:rsidR="007950CA" w:rsidRPr="007950CA">
        <w:rPr>
          <w:rFonts w:cs="Times"/>
          <w:lang w:val="en-US"/>
        </w:rPr>
        <w:t xml:space="preserve"> loss of teeth at a young age, adverse effects of periodontal </w:t>
      </w:r>
      <w:r w:rsidR="007950CA">
        <w:rPr>
          <w:rFonts w:cs="Times"/>
          <w:lang w:val="en-US"/>
        </w:rPr>
        <w:t>infection on the body defined</w:t>
      </w:r>
      <w:r w:rsidR="007950CA" w:rsidRPr="007950CA">
        <w:rPr>
          <w:rFonts w:cs="Times"/>
          <w:lang w:val="en-US"/>
        </w:rPr>
        <w:t xml:space="preserve"> medical and social importance of unresolved aspects</w:t>
      </w:r>
      <w:r w:rsidR="007950CA">
        <w:rPr>
          <w:rFonts w:cs="Times"/>
          <w:lang w:val="en-US"/>
        </w:rPr>
        <w:t>.</w:t>
      </w:r>
      <w:r w:rsidR="00C36B42">
        <w:rPr>
          <w:rFonts w:cs="Times"/>
          <w:lang w:val="en-US"/>
        </w:rPr>
        <w:t xml:space="preserve"> </w:t>
      </w:r>
      <w:r w:rsidR="00C36B42" w:rsidRPr="00C36B42">
        <w:rPr>
          <w:rFonts w:cs="Times"/>
          <w:lang w:val="en-US"/>
        </w:rPr>
        <w:t>There are numerous data that 50-100% of periodontal pathology consistent with the pathology of internal organs</w:t>
      </w:r>
      <w:r w:rsidR="00024ADB">
        <w:rPr>
          <w:rFonts w:cs="Times"/>
          <w:lang w:val="en-US"/>
        </w:rPr>
        <w:t xml:space="preserve"> [2,4,5]</w:t>
      </w:r>
      <w:r w:rsidR="00C36B42">
        <w:rPr>
          <w:rFonts w:cs="Times"/>
          <w:lang w:val="en-US"/>
        </w:rPr>
        <w:t>.</w:t>
      </w:r>
    </w:p>
    <w:p w:rsidR="008535F7" w:rsidRDefault="008535F7" w:rsidP="00915C56">
      <w:pPr>
        <w:widowControl w:val="0"/>
        <w:autoSpaceDE w:val="0"/>
        <w:autoSpaceDN w:val="0"/>
        <w:adjustRightInd w:val="0"/>
        <w:spacing w:after="240"/>
        <w:jc w:val="both"/>
        <w:rPr>
          <w:rFonts w:cs="Times"/>
          <w:lang w:val="en-US"/>
        </w:rPr>
      </w:pPr>
      <w:r w:rsidRPr="008535F7">
        <w:rPr>
          <w:rFonts w:cs="Times"/>
          <w:lang w:val="en-US"/>
        </w:rPr>
        <w:t xml:space="preserve">It is believed that changes in periodontal caused by a single inflammation </w:t>
      </w:r>
      <w:r w:rsidR="00FD4B15" w:rsidRPr="008535F7">
        <w:rPr>
          <w:rFonts w:cs="Times"/>
          <w:lang w:val="en-US"/>
        </w:rPr>
        <w:t xml:space="preserve">genesis </w:t>
      </w:r>
      <w:r w:rsidRPr="008535F7">
        <w:rPr>
          <w:rFonts w:cs="Times"/>
          <w:lang w:val="en-US"/>
        </w:rPr>
        <w:t>p</w:t>
      </w:r>
      <w:r w:rsidR="00FD4B15">
        <w:rPr>
          <w:rFonts w:cs="Times"/>
          <w:lang w:val="en-US"/>
        </w:rPr>
        <w:t>rocess involving</w:t>
      </w:r>
      <w:r w:rsidRPr="008535F7">
        <w:rPr>
          <w:rFonts w:cs="Times"/>
          <w:lang w:val="en-US"/>
        </w:rPr>
        <w:t xml:space="preserve"> simultaneous of the mouth and digestive tract, which occurs primarily via </w:t>
      </w:r>
      <w:proofErr w:type="spellStart"/>
      <w:r w:rsidRPr="008535F7">
        <w:rPr>
          <w:rFonts w:cs="Times"/>
          <w:lang w:val="en-US"/>
        </w:rPr>
        <w:t>proteolytic</w:t>
      </w:r>
      <w:proofErr w:type="spellEnd"/>
      <w:r w:rsidRPr="008535F7">
        <w:rPr>
          <w:rFonts w:cs="Times"/>
          <w:lang w:val="en-US"/>
        </w:rPr>
        <w:t xml:space="preserve"> enzymes.</w:t>
      </w:r>
      <w:r w:rsidR="00FD4B15">
        <w:rPr>
          <w:rFonts w:cs="Times"/>
          <w:lang w:val="en-US"/>
        </w:rPr>
        <w:t xml:space="preserve"> That’s why for</w:t>
      </w:r>
      <w:r w:rsidR="00FD4B15" w:rsidRPr="00FD4B15">
        <w:rPr>
          <w:rFonts w:cs="Times"/>
          <w:lang w:val="en-US"/>
        </w:rPr>
        <w:t xml:space="preserve"> clinicians </w:t>
      </w:r>
      <w:r w:rsidR="00FD4B15">
        <w:rPr>
          <w:rFonts w:cs="Times"/>
          <w:lang w:val="en-US"/>
        </w:rPr>
        <w:t xml:space="preserve">it is </w:t>
      </w:r>
      <w:r w:rsidR="00FD4B15" w:rsidRPr="00FD4B15">
        <w:rPr>
          <w:rFonts w:cs="Times"/>
          <w:lang w:val="en-US"/>
        </w:rPr>
        <w:t>often difficult to establ</w:t>
      </w:r>
      <w:r w:rsidR="00FD4B15">
        <w:rPr>
          <w:rFonts w:cs="Times"/>
          <w:lang w:val="en-US"/>
        </w:rPr>
        <w:t xml:space="preserve">ish the primacy of the </w:t>
      </w:r>
      <w:proofErr w:type="gramStart"/>
      <w:r w:rsidR="00FD4B15">
        <w:rPr>
          <w:rFonts w:cs="Times"/>
          <w:lang w:val="en-US"/>
        </w:rPr>
        <w:t>lesion  gastro</w:t>
      </w:r>
      <w:proofErr w:type="gramEnd"/>
      <w:r w:rsidR="00FD4B15">
        <w:rPr>
          <w:rFonts w:cs="Times"/>
          <w:lang w:val="en-US"/>
        </w:rPr>
        <w:t xml:space="preserve"> - intestinal tract</w:t>
      </w:r>
      <w:r w:rsidR="00FD4B15" w:rsidRPr="00FD4B15">
        <w:rPr>
          <w:rFonts w:cs="Times"/>
          <w:lang w:val="en-US"/>
        </w:rPr>
        <w:t xml:space="preserve"> or periodontal disease.</w:t>
      </w:r>
      <w:r w:rsidR="00FD4B15">
        <w:rPr>
          <w:rFonts w:cs="Times"/>
          <w:lang w:val="en-US"/>
        </w:rPr>
        <w:t xml:space="preserve"> </w:t>
      </w:r>
      <w:r w:rsidR="00FD4B15" w:rsidRPr="00FD4B15">
        <w:rPr>
          <w:rFonts w:cs="Times"/>
          <w:lang w:val="en-US"/>
        </w:rPr>
        <w:t xml:space="preserve">When these pathological </w:t>
      </w:r>
      <w:proofErr w:type="gramStart"/>
      <w:r w:rsidR="00FD4B15" w:rsidRPr="00FD4B15">
        <w:rPr>
          <w:rFonts w:cs="Times"/>
          <w:lang w:val="en-US"/>
        </w:rPr>
        <w:t xml:space="preserve">processes </w:t>
      </w:r>
      <w:r w:rsidR="00FD4B15">
        <w:rPr>
          <w:rFonts w:cs="Times"/>
          <w:lang w:val="en-US"/>
        </w:rPr>
        <w:t xml:space="preserve"> are</w:t>
      </w:r>
      <w:proofErr w:type="gramEnd"/>
      <w:r w:rsidR="00FD4B15">
        <w:rPr>
          <w:rFonts w:cs="Times"/>
          <w:lang w:val="en-US"/>
        </w:rPr>
        <w:t xml:space="preserve"> </w:t>
      </w:r>
      <w:r w:rsidR="00FD4B15" w:rsidRPr="00FD4B15">
        <w:rPr>
          <w:rFonts w:cs="Times"/>
          <w:lang w:val="en-US"/>
        </w:rPr>
        <w:t xml:space="preserve">combined </w:t>
      </w:r>
      <w:r w:rsidR="00FD4B15">
        <w:rPr>
          <w:rFonts w:cs="Times"/>
          <w:lang w:val="en-US"/>
        </w:rPr>
        <w:t xml:space="preserve">it’s characterized </w:t>
      </w:r>
      <w:r w:rsidR="00FD4B15" w:rsidRPr="00FD4B15">
        <w:rPr>
          <w:rFonts w:cs="Times"/>
          <w:lang w:val="en-US"/>
        </w:rPr>
        <w:t xml:space="preserve"> mutually aggravating occurrence of diseases due to the presence of close functional connection between them</w:t>
      </w:r>
      <w:r w:rsidR="00024ADB">
        <w:rPr>
          <w:rFonts w:cs="Times"/>
          <w:lang w:val="en-US"/>
        </w:rPr>
        <w:t xml:space="preserve"> [1,6,</w:t>
      </w:r>
      <w:r w:rsidR="00024ADB">
        <w:rPr>
          <w:rFonts w:cs="Times"/>
          <w:lang w:val="en-US"/>
        </w:rPr>
        <w:t>9</w:t>
      </w:r>
      <w:r w:rsidR="00024ADB">
        <w:rPr>
          <w:rFonts w:cs="Times"/>
          <w:lang w:val="en-US"/>
        </w:rPr>
        <w:t>]</w:t>
      </w:r>
      <w:r w:rsidR="00FD4B15">
        <w:rPr>
          <w:rFonts w:cs="Times"/>
          <w:lang w:val="en-US"/>
        </w:rPr>
        <w:t>.</w:t>
      </w:r>
    </w:p>
    <w:p w:rsidR="00FD4B15" w:rsidRPr="00915C56" w:rsidRDefault="00FD4B15" w:rsidP="00915C56">
      <w:pPr>
        <w:widowControl w:val="0"/>
        <w:autoSpaceDE w:val="0"/>
        <w:autoSpaceDN w:val="0"/>
        <w:adjustRightInd w:val="0"/>
        <w:spacing w:after="240"/>
        <w:jc w:val="both"/>
        <w:rPr>
          <w:rFonts w:cs="Times"/>
          <w:lang w:val="en-US"/>
        </w:rPr>
      </w:pPr>
      <w:r w:rsidRPr="00FD4B15">
        <w:rPr>
          <w:rFonts w:cs="Times"/>
          <w:lang w:val="en-US"/>
        </w:rPr>
        <w:t xml:space="preserve">However, only a few </w:t>
      </w:r>
      <w:proofErr w:type="gramStart"/>
      <w:r w:rsidRPr="00FD4B15">
        <w:rPr>
          <w:rFonts w:cs="Times"/>
          <w:lang w:val="en-US"/>
        </w:rPr>
        <w:t>research</w:t>
      </w:r>
      <w:proofErr w:type="gramEnd"/>
      <w:r w:rsidRPr="00FD4B15">
        <w:rPr>
          <w:rFonts w:cs="Times"/>
          <w:lang w:val="en-US"/>
        </w:rPr>
        <w:t xml:space="preserve"> available that focus on the unity of systemic pathogenic mechanisms that are directly or indirectly involved in the development of periodontal tissue damage associated with the diseases of internal organs.</w:t>
      </w:r>
      <w:r>
        <w:rPr>
          <w:rFonts w:cs="Times"/>
          <w:lang w:val="en-US"/>
        </w:rPr>
        <w:t xml:space="preserve"> </w:t>
      </w:r>
      <w:r w:rsidRPr="00FD4B15">
        <w:rPr>
          <w:rFonts w:cs="Times"/>
          <w:lang w:val="en-US"/>
        </w:rPr>
        <w:t xml:space="preserve">That is </w:t>
      </w:r>
      <w:proofErr w:type="gramStart"/>
      <w:r w:rsidRPr="00FD4B15">
        <w:rPr>
          <w:rFonts w:cs="Times"/>
          <w:lang w:val="en-US"/>
        </w:rPr>
        <w:t>why,</w:t>
      </w:r>
      <w:proofErr w:type="gramEnd"/>
      <w:r w:rsidRPr="00FD4B15">
        <w:rPr>
          <w:rFonts w:cs="Times"/>
          <w:lang w:val="en-US"/>
        </w:rPr>
        <w:t xml:space="preserve"> the problem of finding alternative ways to treat and prevent chronic catarrhal gingivitis in adolescents with chronic gastritis presents scientific and practical interest that determines the relevance of this study.</w:t>
      </w:r>
      <w:r>
        <w:rPr>
          <w:rFonts w:cs="Times"/>
          <w:lang w:val="en-US"/>
        </w:rPr>
        <w:t xml:space="preserve"> </w:t>
      </w:r>
      <w:r w:rsidRPr="00FD4B15">
        <w:rPr>
          <w:rFonts w:cs="Times"/>
          <w:lang w:val="en-US"/>
        </w:rPr>
        <w:t xml:space="preserve">As shows clinical experience in patients with chronic gastritis and </w:t>
      </w:r>
      <w:proofErr w:type="spellStart"/>
      <w:r w:rsidRPr="00FD4B15">
        <w:rPr>
          <w:rFonts w:cs="Times"/>
          <w:lang w:val="en-US"/>
        </w:rPr>
        <w:t>duodenitis</w:t>
      </w:r>
      <w:proofErr w:type="spellEnd"/>
      <w:r w:rsidRPr="00FD4B15">
        <w:rPr>
          <w:rFonts w:cs="Times"/>
          <w:lang w:val="en-US"/>
        </w:rPr>
        <w:t xml:space="preserve"> found growing intensity of caries complications of gingivitis, growth indicators </w:t>
      </w:r>
      <w:r>
        <w:rPr>
          <w:rFonts w:cs="Times"/>
          <w:lang w:val="en-US"/>
        </w:rPr>
        <w:t xml:space="preserve">of </w:t>
      </w:r>
      <w:r w:rsidRPr="00FD4B15">
        <w:rPr>
          <w:rFonts w:cs="Times"/>
          <w:lang w:val="en-US"/>
        </w:rPr>
        <w:t>periodontal indices</w:t>
      </w:r>
      <w:r w:rsidR="00024ADB">
        <w:rPr>
          <w:rFonts w:cs="Times"/>
          <w:lang w:val="en-US"/>
        </w:rPr>
        <w:t xml:space="preserve"> [7,8,</w:t>
      </w:r>
      <w:bookmarkStart w:id="0" w:name="_GoBack"/>
      <w:bookmarkEnd w:id="0"/>
      <w:r w:rsidR="00024ADB">
        <w:rPr>
          <w:rFonts w:cs="Times"/>
          <w:lang w:val="en-US"/>
        </w:rPr>
        <w:t>10]</w:t>
      </w:r>
      <w:r>
        <w:rPr>
          <w:rFonts w:cs="Times"/>
          <w:lang w:val="en-US"/>
        </w:rPr>
        <w:t>.</w:t>
      </w:r>
      <w:r w:rsidRPr="00FD4B15">
        <w:rPr>
          <w:rFonts w:cs="Times"/>
          <w:lang w:val="en-US"/>
        </w:rPr>
        <w:t xml:space="preserve"> </w:t>
      </w:r>
    </w:p>
    <w:p w:rsidR="00915C56" w:rsidRDefault="00915C56" w:rsidP="00915C56">
      <w:pPr>
        <w:widowControl w:val="0"/>
        <w:autoSpaceDE w:val="0"/>
        <w:autoSpaceDN w:val="0"/>
        <w:adjustRightInd w:val="0"/>
        <w:spacing w:after="240"/>
        <w:rPr>
          <w:rFonts w:cs="Times"/>
          <w:lang w:val="en-US"/>
        </w:rPr>
      </w:pPr>
      <w:r w:rsidRPr="00915C56">
        <w:rPr>
          <w:rFonts w:cs="Times"/>
          <w:lang w:val="en-US"/>
        </w:rPr>
        <w:t xml:space="preserve">The </w:t>
      </w:r>
      <w:r w:rsidRPr="00915C56">
        <w:rPr>
          <w:rFonts w:cs="Times"/>
          <w:b/>
          <w:bCs/>
          <w:lang w:val="en-US"/>
        </w:rPr>
        <w:t xml:space="preserve">purpose </w:t>
      </w:r>
      <w:r w:rsidRPr="00915C56">
        <w:rPr>
          <w:rFonts w:cs="Times"/>
          <w:lang w:val="en-US"/>
        </w:rPr>
        <w:t xml:space="preserve">of this research is to study the intensity of chronic catarrhal gingivitis (CCG) in children who have </w:t>
      </w:r>
      <w:r>
        <w:rPr>
          <w:rFonts w:cs="Times"/>
          <w:lang w:val="en-US"/>
        </w:rPr>
        <w:t xml:space="preserve">chronic gastritis </w:t>
      </w:r>
      <w:r w:rsidRPr="00915C56">
        <w:rPr>
          <w:rFonts w:cs="Times"/>
          <w:lang w:val="en-US"/>
        </w:rPr>
        <w:t>with using the periodontal indices.</w:t>
      </w:r>
    </w:p>
    <w:p w:rsidR="007950CA" w:rsidRDefault="007950CA" w:rsidP="007950CA">
      <w:pPr>
        <w:widowControl w:val="0"/>
        <w:autoSpaceDE w:val="0"/>
        <w:autoSpaceDN w:val="0"/>
        <w:adjustRightInd w:val="0"/>
        <w:spacing w:after="240"/>
        <w:jc w:val="both"/>
        <w:rPr>
          <w:rFonts w:cs="Times"/>
          <w:lang w:val="en-US"/>
        </w:rPr>
      </w:pPr>
      <w:proofErr w:type="gramStart"/>
      <w:r w:rsidRPr="007950CA">
        <w:rPr>
          <w:rFonts w:cs="Times"/>
          <w:b/>
          <w:bCs/>
          <w:lang w:val="en-US"/>
        </w:rPr>
        <w:t>Materials and methods.</w:t>
      </w:r>
      <w:proofErr w:type="gramEnd"/>
      <w:r w:rsidRPr="007950CA">
        <w:rPr>
          <w:rFonts w:cs="Times"/>
          <w:b/>
          <w:bCs/>
          <w:lang w:val="en-US"/>
        </w:rPr>
        <w:t xml:space="preserve"> </w:t>
      </w:r>
      <w:r w:rsidRPr="007950CA">
        <w:rPr>
          <w:rFonts w:cs="Times"/>
          <w:lang w:val="en-US"/>
        </w:rPr>
        <w:t>The clinical study with the definition of general health, diagnosis of dental status in</w:t>
      </w:r>
      <w:r>
        <w:rPr>
          <w:rFonts w:cs="Times"/>
          <w:lang w:val="en-US"/>
        </w:rPr>
        <w:t xml:space="preserve"> 103 persons with</w:t>
      </w:r>
      <w:r w:rsidRPr="007950CA">
        <w:rPr>
          <w:rFonts w:cs="Times"/>
          <w:lang w:val="en-US"/>
        </w:rPr>
        <w:t xml:space="preserve"> </w:t>
      </w:r>
      <w:r>
        <w:rPr>
          <w:rFonts w:cs="Times"/>
          <w:lang w:val="en-US"/>
        </w:rPr>
        <w:t xml:space="preserve">chronic gastritis </w:t>
      </w:r>
      <w:r w:rsidRPr="007950CA">
        <w:rPr>
          <w:rFonts w:cs="Times"/>
          <w:lang w:val="en-US"/>
        </w:rPr>
        <w:t>(the mai</w:t>
      </w:r>
      <w:r>
        <w:rPr>
          <w:rFonts w:cs="Times"/>
          <w:lang w:val="en-US"/>
        </w:rPr>
        <w:t>n group) aged 12-17 years and 87</w:t>
      </w:r>
      <w:r w:rsidRPr="007950CA">
        <w:rPr>
          <w:rFonts w:cs="Times"/>
          <w:lang w:val="en-US"/>
        </w:rPr>
        <w:t xml:space="preserve"> persons of the same age, without concomit</w:t>
      </w:r>
      <w:r w:rsidR="00FB6D0B">
        <w:rPr>
          <w:rFonts w:cs="Times"/>
          <w:lang w:val="en-US"/>
        </w:rPr>
        <w:t>ant somatic diseases (comparative</w:t>
      </w:r>
      <w:r w:rsidRPr="007950CA">
        <w:rPr>
          <w:rFonts w:cs="Times"/>
          <w:lang w:val="en-US"/>
        </w:rPr>
        <w:t xml:space="preserve"> group) was conducted. </w:t>
      </w:r>
    </w:p>
    <w:p w:rsidR="007950CA" w:rsidRDefault="007950CA" w:rsidP="007950CA">
      <w:pPr>
        <w:widowControl w:val="0"/>
        <w:autoSpaceDE w:val="0"/>
        <w:autoSpaceDN w:val="0"/>
        <w:adjustRightInd w:val="0"/>
        <w:spacing w:after="240"/>
        <w:jc w:val="both"/>
        <w:rPr>
          <w:rFonts w:cs="Times"/>
          <w:lang w:val="en-US"/>
        </w:rPr>
      </w:pPr>
      <w:r w:rsidRPr="007950CA">
        <w:rPr>
          <w:rFonts w:cs="Times"/>
          <w:lang w:val="en-US"/>
        </w:rPr>
        <w:lastRenderedPageBreak/>
        <w:t>A thorough dental</w:t>
      </w:r>
      <w:r>
        <w:rPr>
          <w:rFonts w:cs="Times"/>
          <w:lang w:val="en-US"/>
        </w:rPr>
        <w:t xml:space="preserve"> </w:t>
      </w:r>
      <w:r w:rsidRPr="007950CA">
        <w:rPr>
          <w:rFonts w:cs="Times"/>
          <w:lang w:val="en-US"/>
        </w:rPr>
        <w:t>examination with using generally accepted clinical methods with capilla</w:t>
      </w:r>
      <w:r>
        <w:rPr>
          <w:rFonts w:cs="Times"/>
          <w:lang w:val="en-US"/>
        </w:rPr>
        <w:t xml:space="preserve">ry- </w:t>
      </w:r>
      <w:proofErr w:type="gramStart"/>
      <w:r>
        <w:rPr>
          <w:rFonts w:cs="Times"/>
          <w:lang w:val="en-US"/>
        </w:rPr>
        <w:t>marginally-alveolar</w:t>
      </w:r>
      <w:proofErr w:type="gramEnd"/>
      <w:r>
        <w:rPr>
          <w:rFonts w:cs="Times"/>
          <w:lang w:val="en-US"/>
        </w:rPr>
        <w:t xml:space="preserve"> index (P</w:t>
      </w:r>
      <w:r w:rsidRPr="007950CA">
        <w:rPr>
          <w:rFonts w:cs="Times"/>
          <w:lang w:val="en-US"/>
        </w:rPr>
        <w:t>MA) and the index of bleeding gums during interrogation (</w:t>
      </w:r>
      <w:proofErr w:type="spellStart"/>
      <w:r w:rsidRPr="007950CA">
        <w:rPr>
          <w:rFonts w:cs="Times"/>
          <w:lang w:val="en-US"/>
        </w:rPr>
        <w:t>Mulleman</w:t>
      </w:r>
      <w:proofErr w:type="spellEnd"/>
      <w:r w:rsidRPr="007950CA">
        <w:rPr>
          <w:rFonts w:cs="Times"/>
          <w:lang w:val="en-US"/>
        </w:rPr>
        <w:t>, Cowl, 1972) was carried out</w:t>
      </w:r>
      <w:r w:rsidR="00024ADB">
        <w:rPr>
          <w:rFonts w:cs="Times"/>
          <w:lang w:val="en-US"/>
        </w:rPr>
        <w:t xml:space="preserve"> [3]</w:t>
      </w:r>
      <w:r w:rsidRPr="007950CA">
        <w:rPr>
          <w:rFonts w:cs="Times"/>
          <w:lang w:val="en-US"/>
        </w:rPr>
        <w:t xml:space="preserve">. </w:t>
      </w:r>
    </w:p>
    <w:p w:rsidR="007950CA" w:rsidRPr="007950CA" w:rsidRDefault="007950CA" w:rsidP="007950CA">
      <w:pPr>
        <w:widowControl w:val="0"/>
        <w:autoSpaceDE w:val="0"/>
        <w:autoSpaceDN w:val="0"/>
        <w:adjustRightInd w:val="0"/>
        <w:spacing w:after="240"/>
        <w:jc w:val="both"/>
        <w:rPr>
          <w:rFonts w:cs="Times"/>
          <w:lang w:val="en-US"/>
        </w:rPr>
      </w:pPr>
      <w:r w:rsidRPr="007950CA">
        <w:rPr>
          <w:rFonts w:cs="Times"/>
          <w:lang w:val="en-US"/>
        </w:rPr>
        <w:t xml:space="preserve">The data are worked out statistically with using the program software </w:t>
      </w:r>
      <w:proofErr w:type="spellStart"/>
      <w:r w:rsidRPr="007950CA">
        <w:rPr>
          <w:rFonts w:cs="Times"/>
          <w:lang w:val="en-US"/>
        </w:rPr>
        <w:t>Statistica</w:t>
      </w:r>
      <w:proofErr w:type="spellEnd"/>
      <w:r w:rsidRPr="007950CA">
        <w:rPr>
          <w:rFonts w:cs="Times"/>
          <w:lang w:val="en-US"/>
        </w:rPr>
        <w:t xml:space="preserve"> 7.0 (</w:t>
      </w:r>
      <w:proofErr w:type="spellStart"/>
      <w:r w:rsidRPr="007950CA">
        <w:rPr>
          <w:rFonts w:cs="Times"/>
          <w:lang w:val="en-US"/>
        </w:rPr>
        <w:t>StatSoft</w:t>
      </w:r>
      <w:proofErr w:type="spellEnd"/>
      <w:r w:rsidRPr="007950CA">
        <w:rPr>
          <w:rFonts w:cs="Times"/>
          <w:lang w:val="en-US"/>
        </w:rPr>
        <w:t xml:space="preserve"> Inc.).</w:t>
      </w:r>
    </w:p>
    <w:p w:rsidR="007950CA" w:rsidRDefault="007950CA" w:rsidP="00BC726D">
      <w:pPr>
        <w:widowControl w:val="0"/>
        <w:autoSpaceDE w:val="0"/>
        <w:autoSpaceDN w:val="0"/>
        <w:adjustRightInd w:val="0"/>
        <w:spacing w:after="240"/>
        <w:jc w:val="both"/>
        <w:rPr>
          <w:rFonts w:cs="Times"/>
          <w:lang w:val="en-US"/>
        </w:rPr>
      </w:pPr>
      <w:proofErr w:type="gramStart"/>
      <w:r w:rsidRPr="007950CA">
        <w:rPr>
          <w:rFonts w:cs="Times"/>
          <w:b/>
          <w:lang w:val="en-US"/>
        </w:rPr>
        <w:t>Results and discussion</w:t>
      </w:r>
      <w:r>
        <w:rPr>
          <w:rFonts w:cs="Times"/>
          <w:b/>
          <w:lang w:val="en-US"/>
        </w:rPr>
        <w:t>.</w:t>
      </w:r>
      <w:proofErr w:type="gramEnd"/>
      <w:r>
        <w:rPr>
          <w:rFonts w:cs="Times"/>
          <w:b/>
          <w:lang w:val="en-US"/>
        </w:rPr>
        <w:t xml:space="preserve"> </w:t>
      </w:r>
      <w:r w:rsidR="00BC726D" w:rsidRPr="00BC726D">
        <w:rPr>
          <w:rFonts w:cs="Times"/>
          <w:lang w:val="en-US"/>
        </w:rPr>
        <w:t>To understand the intensity of inflammation in periodontal tissues were analyzed PMA index data depending on age examined</w:t>
      </w:r>
      <w:r w:rsidR="00BC726D">
        <w:rPr>
          <w:rFonts w:cs="Times"/>
          <w:lang w:val="en-US"/>
        </w:rPr>
        <w:t xml:space="preserve"> (table 1).</w:t>
      </w:r>
    </w:p>
    <w:p w:rsidR="00BC726D" w:rsidRDefault="00BC726D" w:rsidP="00BC726D">
      <w:pPr>
        <w:widowControl w:val="0"/>
        <w:autoSpaceDE w:val="0"/>
        <w:autoSpaceDN w:val="0"/>
        <w:adjustRightInd w:val="0"/>
        <w:spacing w:after="240"/>
        <w:jc w:val="both"/>
        <w:rPr>
          <w:rFonts w:cs="Times"/>
          <w:lang w:val="en-US"/>
        </w:rPr>
      </w:pPr>
      <w:r w:rsidRPr="00BC726D">
        <w:rPr>
          <w:rFonts w:cs="Times"/>
          <w:lang w:val="en-US"/>
        </w:rPr>
        <w:t xml:space="preserve">12-14 years old </w:t>
      </w:r>
      <w:r>
        <w:rPr>
          <w:rFonts w:cs="Times"/>
          <w:lang w:val="en-US"/>
        </w:rPr>
        <w:t>c</w:t>
      </w:r>
      <w:r w:rsidRPr="00BC726D">
        <w:rPr>
          <w:rFonts w:cs="Times"/>
          <w:lang w:val="en-US"/>
        </w:rPr>
        <w:t>hildren, patients with chronic gastritis, PMA index was (38,31 ± 4,68</w:t>
      </w:r>
      <w:r>
        <w:rPr>
          <w:rFonts w:cs="Times"/>
          <w:lang w:val="en-US"/>
        </w:rPr>
        <w:t>%</w:t>
      </w:r>
      <w:r w:rsidRPr="00BC726D">
        <w:rPr>
          <w:rFonts w:cs="Times"/>
          <w:lang w:val="en-US"/>
        </w:rPr>
        <w:t>)</w:t>
      </w:r>
      <w:r>
        <w:rPr>
          <w:rFonts w:cs="Times"/>
          <w:lang w:val="en-US"/>
        </w:rPr>
        <w:t xml:space="preserve"> </w:t>
      </w:r>
      <w:r w:rsidRPr="00BC726D">
        <w:rPr>
          <w:rFonts w:cs="Times"/>
          <w:lang w:val="en-US"/>
        </w:rPr>
        <w:t>and characterized as medium severity gingivitis, and mentioned indicator was 1.8 times less than the corresponding values in the co</w:t>
      </w:r>
      <w:r>
        <w:rPr>
          <w:rFonts w:cs="Times"/>
          <w:lang w:val="en-US"/>
        </w:rPr>
        <w:t xml:space="preserve">mparative group of individuals </w:t>
      </w:r>
      <w:r w:rsidRPr="00BC726D">
        <w:rPr>
          <w:rFonts w:cs="Times"/>
          <w:lang w:val="en-US"/>
        </w:rPr>
        <w:t>(21,25 ± 4,35)%, p &lt;0.01) in which the index PMA characterized as mild degree gingivitis.</w:t>
      </w:r>
    </w:p>
    <w:p w:rsidR="00BC726D" w:rsidRDefault="00BC726D" w:rsidP="00BC726D">
      <w:pPr>
        <w:widowControl w:val="0"/>
        <w:autoSpaceDE w:val="0"/>
        <w:autoSpaceDN w:val="0"/>
        <w:adjustRightInd w:val="0"/>
        <w:spacing w:after="240"/>
        <w:jc w:val="both"/>
        <w:rPr>
          <w:rFonts w:cs="Times"/>
          <w:lang w:val="en-US"/>
        </w:rPr>
      </w:pPr>
      <w:r w:rsidRPr="00BC726D">
        <w:rPr>
          <w:rFonts w:cs="Times"/>
          <w:lang w:val="en-US"/>
        </w:rPr>
        <w:t xml:space="preserve">In the age range 15-17 years, </w:t>
      </w:r>
      <w:proofErr w:type="gramStart"/>
      <w:r w:rsidRPr="00BC726D">
        <w:rPr>
          <w:rFonts w:cs="Times"/>
          <w:lang w:val="en-US"/>
        </w:rPr>
        <w:t xml:space="preserve">teenagers </w:t>
      </w:r>
      <w:r>
        <w:rPr>
          <w:rFonts w:cs="Times"/>
          <w:lang w:val="en-US"/>
        </w:rPr>
        <w:t xml:space="preserve"> of</w:t>
      </w:r>
      <w:proofErr w:type="gramEnd"/>
      <w:r>
        <w:rPr>
          <w:rFonts w:cs="Times"/>
          <w:lang w:val="en-US"/>
        </w:rPr>
        <w:t xml:space="preserve"> </w:t>
      </w:r>
      <w:r w:rsidRPr="00BC726D">
        <w:rPr>
          <w:rFonts w:cs="Times"/>
          <w:lang w:val="en-US"/>
        </w:rPr>
        <w:t>main group, the value of PMA (48,75 ± 4,81)% characterized as medium severity gingivitis</w:t>
      </w:r>
      <w:r>
        <w:rPr>
          <w:rFonts w:cs="Times"/>
          <w:lang w:val="en-US"/>
        </w:rPr>
        <w:t xml:space="preserve"> and</w:t>
      </w:r>
      <w:r w:rsidRPr="00BC726D">
        <w:rPr>
          <w:rFonts w:cs="Times"/>
          <w:lang w:val="en-US"/>
        </w:rPr>
        <w:t xml:space="preserve"> was 1.27 times higher in the PMA data in children 12-14 years of the same group.</w:t>
      </w:r>
      <w:r>
        <w:rPr>
          <w:rFonts w:cs="Times"/>
          <w:lang w:val="en-US"/>
        </w:rPr>
        <w:t xml:space="preserve"> </w:t>
      </w:r>
      <w:r w:rsidRPr="00BC726D">
        <w:rPr>
          <w:rFonts w:cs="Times"/>
          <w:lang w:val="en-US"/>
        </w:rPr>
        <w:t xml:space="preserve">The value of PMA in patients </w:t>
      </w:r>
      <w:r>
        <w:rPr>
          <w:rFonts w:cs="Times"/>
          <w:lang w:val="en-US"/>
        </w:rPr>
        <w:t xml:space="preserve">from </w:t>
      </w:r>
      <w:r w:rsidRPr="00BC726D">
        <w:rPr>
          <w:rFonts w:cs="Times"/>
          <w:lang w:val="en-US"/>
        </w:rPr>
        <w:t>comparative group (34,16 ± 4,87)% was 1.4 times less than the same indicator in the examined main group (p&gt; 0.05).</w:t>
      </w:r>
    </w:p>
    <w:p w:rsidR="00BC726D" w:rsidRDefault="00BC726D" w:rsidP="00BC726D">
      <w:pPr>
        <w:widowControl w:val="0"/>
        <w:autoSpaceDE w:val="0"/>
        <w:autoSpaceDN w:val="0"/>
        <w:adjustRightInd w:val="0"/>
        <w:spacing w:after="240"/>
        <w:jc w:val="right"/>
        <w:rPr>
          <w:rFonts w:cs="Times"/>
          <w:lang w:val="en-US"/>
        </w:rPr>
      </w:pPr>
      <w:r>
        <w:rPr>
          <w:rFonts w:cs="Times"/>
          <w:lang w:val="en-US"/>
        </w:rPr>
        <w:t>Table 1</w:t>
      </w:r>
    </w:p>
    <w:p w:rsidR="00BC726D" w:rsidRDefault="00AB2D73" w:rsidP="00AB2D73">
      <w:pPr>
        <w:widowControl w:val="0"/>
        <w:autoSpaceDE w:val="0"/>
        <w:autoSpaceDN w:val="0"/>
        <w:adjustRightInd w:val="0"/>
        <w:spacing w:after="240"/>
        <w:jc w:val="center"/>
        <w:rPr>
          <w:rFonts w:cs="Times"/>
          <w:lang w:val="en-US"/>
        </w:rPr>
      </w:pPr>
      <w:proofErr w:type="gramStart"/>
      <w:r w:rsidRPr="00AB2D73">
        <w:rPr>
          <w:rFonts w:cs="Times"/>
          <w:lang w:val="en-US"/>
        </w:rPr>
        <w:t>Indicators of PMA Index (%) in children, depending on age</w:t>
      </w:r>
      <w:r>
        <w:rPr>
          <w:rFonts w:cs="Times"/>
          <w:lang w:val="en-US"/>
        </w:rPr>
        <w:t>.</w:t>
      </w:r>
      <w:proofErr w:type="gramEnd"/>
    </w:p>
    <w:tbl>
      <w:tblPr>
        <w:tblStyle w:val="a3"/>
        <w:tblW w:w="0" w:type="auto"/>
        <w:tblInd w:w="1384" w:type="dxa"/>
        <w:tblLook w:val="04A0" w:firstRow="1" w:lastRow="0" w:firstColumn="1" w:lastColumn="0" w:noHBand="0" w:noVBand="1"/>
      </w:tblPr>
      <w:tblGrid>
        <w:gridCol w:w="1843"/>
        <w:gridCol w:w="2268"/>
        <w:gridCol w:w="2410"/>
      </w:tblGrid>
      <w:tr w:rsidR="00AB2D73" w:rsidTr="00AB2D73">
        <w:tc>
          <w:tcPr>
            <w:tcW w:w="1843" w:type="dxa"/>
          </w:tcPr>
          <w:p w:rsidR="00AB2D73" w:rsidRPr="00AB2D73" w:rsidRDefault="00AB2D73" w:rsidP="00AB2D73">
            <w:pPr>
              <w:widowControl w:val="0"/>
              <w:autoSpaceDE w:val="0"/>
              <w:autoSpaceDN w:val="0"/>
              <w:adjustRightInd w:val="0"/>
              <w:spacing w:after="240"/>
              <w:jc w:val="center"/>
              <w:rPr>
                <w:rFonts w:cs="Times"/>
                <w:lang w:val="en-US"/>
              </w:rPr>
            </w:pPr>
            <w:r w:rsidRPr="00AB2D73">
              <w:rPr>
                <w:rFonts w:cs="Times"/>
                <w:lang w:val="en-US"/>
              </w:rPr>
              <w:t>Age, in years</w:t>
            </w:r>
          </w:p>
        </w:tc>
        <w:tc>
          <w:tcPr>
            <w:tcW w:w="2268" w:type="dxa"/>
          </w:tcPr>
          <w:p w:rsidR="00AB2D73" w:rsidRPr="00AB2D73" w:rsidRDefault="00AB2D73" w:rsidP="00AB2D73">
            <w:pPr>
              <w:widowControl w:val="0"/>
              <w:autoSpaceDE w:val="0"/>
              <w:autoSpaceDN w:val="0"/>
              <w:adjustRightInd w:val="0"/>
              <w:spacing w:after="240"/>
              <w:jc w:val="center"/>
              <w:rPr>
                <w:rFonts w:cs="Times"/>
                <w:lang w:val="en-US"/>
              </w:rPr>
            </w:pPr>
            <w:r>
              <w:rPr>
                <w:rFonts w:cs="Times"/>
                <w:lang w:val="en-US"/>
              </w:rPr>
              <w:t>Main group              (n = 103</w:t>
            </w:r>
            <w:r w:rsidRPr="00AB2D73">
              <w:rPr>
                <w:rFonts w:cs="Times"/>
                <w:lang w:val="en-US"/>
              </w:rPr>
              <w:t>)</w:t>
            </w:r>
          </w:p>
        </w:tc>
        <w:tc>
          <w:tcPr>
            <w:tcW w:w="2410" w:type="dxa"/>
          </w:tcPr>
          <w:p w:rsidR="00AB2D73" w:rsidRPr="00AB2D73" w:rsidRDefault="00AB2D73" w:rsidP="00AB2D73">
            <w:pPr>
              <w:widowControl w:val="0"/>
              <w:autoSpaceDE w:val="0"/>
              <w:autoSpaceDN w:val="0"/>
              <w:adjustRightInd w:val="0"/>
              <w:spacing w:after="240"/>
              <w:jc w:val="center"/>
              <w:rPr>
                <w:rFonts w:cs="Times"/>
                <w:lang w:val="en-US"/>
              </w:rPr>
            </w:pPr>
            <w:r>
              <w:rPr>
                <w:rFonts w:cs="Times"/>
                <w:lang w:val="en-US"/>
              </w:rPr>
              <w:t>Comparative group (n = 87</w:t>
            </w:r>
            <w:r w:rsidRPr="00AB2D73">
              <w:rPr>
                <w:rFonts w:cs="Times"/>
                <w:lang w:val="en-US"/>
              </w:rPr>
              <w:t>)</w:t>
            </w:r>
          </w:p>
        </w:tc>
      </w:tr>
      <w:tr w:rsidR="00AB2D73" w:rsidTr="00AB2D73">
        <w:tc>
          <w:tcPr>
            <w:tcW w:w="1843" w:type="dxa"/>
          </w:tcPr>
          <w:p w:rsidR="00AB2D73" w:rsidRPr="00AB2D73" w:rsidRDefault="00AB2D73" w:rsidP="00AB2D73">
            <w:pPr>
              <w:spacing w:line="360" w:lineRule="auto"/>
              <w:jc w:val="center"/>
              <w:rPr>
                <w:rFonts w:cs="Times New Roman"/>
              </w:rPr>
            </w:pPr>
            <w:r w:rsidRPr="00AB2D73">
              <w:rPr>
                <w:rFonts w:cs="Times New Roman"/>
              </w:rPr>
              <w:t>12-14</w:t>
            </w:r>
          </w:p>
        </w:tc>
        <w:tc>
          <w:tcPr>
            <w:tcW w:w="2268" w:type="dxa"/>
          </w:tcPr>
          <w:p w:rsidR="00AB2D73" w:rsidRPr="00AB2D73" w:rsidRDefault="00AB2D73" w:rsidP="00AB2D73">
            <w:pPr>
              <w:spacing w:line="360" w:lineRule="auto"/>
              <w:jc w:val="center"/>
              <w:rPr>
                <w:rFonts w:cs="Times New Roman"/>
              </w:rPr>
            </w:pPr>
            <w:r w:rsidRPr="00AB2D73">
              <w:rPr>
                <w:rFonts w:cs="Times New Roman"/>
              </w:rPr>
              <w:t>38,31±4,68          р&lt;0,01</w:t>
            </w:r>
          </w:p>
        </w:tc>
        <w:tc>
          <w:tcPr>
            <w:tcW w:w="2410" w:type="dxa"/>
          </w:tcPr>
          <w:p w:rsidR="00AB2D73" w:rsidRPr="00AB2D73" w:rsidRDefault="00AB2D73" w:rsidP="00AB2D73">
            <w:pPr>
              <w:spacing w:line="360" w:lineRule="auto"/>
              <w:jc w:val="center"/>
              <w:rPr>
                <w:rFonts w:cs="Times New Roman"/>
              </w:rPr>
            </w:pPr>
            <w:r w:rsidRPr="00AB2D73">
              <w:rPr>
                <w:rFonts w:cs="Times New Roman"/>
              </w:rPr>
              <w:t>21,25±4,35             р&lt;0,01</w:t>
            </w:r>
          </w:p>
        </w:tc>
      </w:tr>
      <w:tr w:rsidR="00AB2D73" w:rsidTr="00AB2D73">
        <w:tc>
          <w:tcPr>
            <w:tcW w:w="1843" w:type="dxa"/>
          </w:tcPr>
          <w:p w:rsidR="00AB2D73" w:rsidRPr="00AB2D73" w:rsidRDefault="00AB2D73" w:rsidP="00AB2D73">
            <w:pPr>
              <w:spacing w:line="360" w:lineRule="auto"/>
              <w:jc w:val="center"/>
              <w:rPr>
                <w:rFonts w:cs="Times New Roman"/>
              </w:rPr>
            </w:pPr>
            <w:r w:rsidRPr="00AB2D73">
              <w:rPr>
                <w:rFonts w:cs="Times New Roman"/>
              </w:rPr>
              <w:t>15-17</w:t>
            </w:r>
          </w:p>
        </w:tc>
        <w:tc>
          <w:tcPr>
            <w:tcW w:w="2268" w:type="dxa"/>
          </w:tcPr>
          <w:p w:rsidR="00AB2D73" w:rsidRPr="00AB2D73" w:rsidRDefault="00AB2D73" w:rsidP="00AB2D73">
            <w:pPr>
              <w:spacing w:line="360" w:lineRule="auto"/>
              <w:jc w:val="center"/>
              <w:rPr>
                <w:rFonts w:cs="Times New Roman"/>
              </w:rPr>
            </w:pPr>
            <w:r w:rsidRPr="00AB2D73">
              <w:rPr>
                <w:rFonts w:cs="Times New Roman"/>
              </w:rPr>
              <w:t>48,75±4,81          р&gt;0,05</w:t>
            </w:r>
          </w:p>
        </w:tc>
        <w:tc>
          <w:tcPr>
            <w:tcW w:w="2410" w:type="dxa"/>
          </w:tcPr>
          <w:p w:rsidR="00AB2D73" w:rsidRPr="00AB2D73" w:rsidRDefault="00AB2D73" w:rsidP="00AB2D73">
            <w:pPr>
              <w:spacing w:line="360" w:lineRule="auto"/>
              <w:jc w:val="center"/>
              <w:rPr>
                <w:rFonts w:cs="Times New Roman"/>
              </w:rPr>
            </w:pPr>
            <w:r w:rsidRPr="00AB2D73">
              <w:rPr>
                <w:rFonts w:cs="Times New Roman"/>
              </w:rPr>
              <w:t>34,16± 4,87             р&lt;0,01</w:t>
            </w:r>
          </w:p>
        </w:tc>
      </w:tr>
      <w:tr w:rsidR="00AB2D73" w:rsidTr="00AB2D73">
        <w:tc>
          <w:tcPr>
            <w:tcW w:w="1843" w:type="dxa"/>
          </w:tcPr>
          <w:p w:rsidR="00AB2D73" w:rsidRPr="00AB2D73" w:rsidRDefault="00AB2D73" w:rsidP="00AB2D73">
            <w:pPr>
              <w:widowControl w:val="0"/>
              <w:autoSpaceDE w:val="0"/>
              <w:autoSpaceDN w:val="0"/>
              <w:adjustRightInd w:val="0"/>
              <w:spacing w:after="240"/>
              <w:jc w:val="center"/>
              <w:rPr>
                <w:rFonts w:cs="Times"/>
                <w:lang w:val="en-US"/>
              </w:rPr>
            </w:pPr>
            <w:proofErr w:type="gramStart"/>
            <w:r w:rsidRPr="00AB2D73">
              <w:rPr>
                <w:rFonts w:cs="Times"/>
                <w:lang w:val="en-US"/>
              </w:rPr>
              <w:t>average</w:t>
            </w:r>
            <w:proofErr w:type="gramEnd"/>
            <w:r w:rsidRPr="00AB2D73">
              <w:rPr>
                <w:rFonts w:cs="Times"/>
                <w:lang w:val="en-US"/>
              </w:rPr>
              <w:t xml:space="preserve"> value</w:t>
            </w:r>
          </w:p>
        </w:tc>
        <w:tc>
          <w:tcPr>
            <w:tcW w:w="2268" w:type="dxa"/>
          </w:tcPr>
          <w:p w:rsidR="00AB2D73" w:rsidRPr="00AB2D73" w:rsidRDefault="00AB2D73" w:rsidP="00AB2D73">
            <w:pPr>
              <w:spacing w:line="360" w:lineRule="auto"/>
              <w:jc w:val="center"/>
              <w:rPr>
                <w:rFonts w:cs="Times New Roman"/>
              </w:rPr>
            </w:pPr>
            <w:r w:rsidRPr="00AB2D73">
              <w:rPr>
                <w:rFonts w:cs="Times New Roman"/>
              </w:rPr>
              <w:t>43,51±4,74          р&lt;0,05</w:t>
            </w:r>
          </w:p>
        </w:tc>
        <w:tc>
          <w:tcPr>
            <w:tcW w:w="2410" w:type="dxa"/>
          </w:tcPr>
          <w:p w:rsidR="00AB2D73" w:rsidRPr="00AB2D73" w:rsidRDefault="00AB2D73" w:rsidP="00AB2D73">
            <w:pPr>
              <w:spacing w:line="360" w:lineRule="auto"/>
              <w:jc w:val="center"/>
              <w:rPr>
                <w:rFonts w:cs="Times New Roman"/>
              </w:rPr>
            </w:pPr>
            <w:r w:rsidRPr="00AB2D73">
              <w:rPr>
                <w:rFonts w:cs="Times New Roman"/>
              </w:rPr>
              <w:t>27,71±4,61             р&lt;0,01</w:t>
            </w:r>
          </w:p>
        </w:tc>
      </w:tr>
    </w:tbl>
    <w:p w:rsidR="00AB2D73" w:rsidRDefault="00AB2D73" w:rsidP="00AB2D73">
      <w:pPr>
        <w:widowControl w:val="0"/>
        <w:autoSpaceDE w:val="0"/>
        <w:autoSpaceDN w:val="0"/>
        <w:adjustRightInd w:val="0"/>
        <w:spacing w:after="240"/>
        <w:rPr>
          <w:rFonts w:cs="Times"/>
          <w:lang w:val="en-US"/>
        </w:rPr>
      </w:pPr>
    </w:p>
    <w:p w:rsidR="00AB2D73" w:rsidRDefault="00AB2D73" w:rsidP="00AB2D73">
      <w:pPr>
        <w:widowControl w:val="0"/>
        <w:autoSpaceDE w:val="0"/>
        <w:autoSpaceDN w:val="0"/>
        <w:adjustRightInd w:val="0"/>
        <w:spacing w:after="240"/>
        <w:jc w:val="both"/>
        <w:rPr>
          <w:rFonts w:cs="Times"/>
          <w:lang w:val="en-US"/>
        </w:rPr>
      </w:pPr>
      <w:r w:rsidRPr="00AB2D73">
        <w:rPr>
          <w:rFonts w:cs="Times"/>
          <w:lang w:val="en-US"/>
        </w:rPr>
        <w:t>Thus, the average value of the index PMA in children with chronic gastritis (43,51 ± 4,74)%, was 1.6 times more than in th</w:t>
      </w:r>
      <w:r>
        <w:rPr>
          <w:rFonts w:cs="Times"/>
          <w:lang w:val="en-US"/>
        </w:rPr>
        <w:t xml:space="preserve">e comparative group of persons </w:t>
      </w:r>
      <w:r w:rsidRPr="00AB2D73">
        <w:rPr>
          <w:rFonts w:cs="Times"/>
          <w:lang w:val="en-US"/>
        </w:rPr>
        <w:t>(27,71 ± 4,61) %, p &lt;0.05).</w:t>
      </w:r>
    </w:p>
    <w:p w:rsidR="00AB2D73" w:rsidRDefault="00052BF0" w:rsidP="00AB2D73">
      <w:pPr>
        <w:widowControl w:val="0"/>
        <w:autoSpaceDE w:val="0"/>
        <w:autoSpaceDN w:val="0"/>
        <w:adjustRightInd w:val="0"/>
        <w:spacing w:after="240"/>
        <w:jc w:val="both"/>
        <w:rPr>
          <w:rFonts w:cs="Times"/>
          <w:lang w:val="en-US"/>
        </w:rPr>
      </w:pPr>
      <w:r>
        <w:rPr>
          <w:rFonts w:cs="Times"/>
          <w:lang w:val="en-US"/>
        </w:rPr>
        <w:t>Results</w:t>
      </w:r>
      <w:r w:rsidRPr="00052BF0">
        <w:rPr>
          <w:rFonts w:cs="Times"/>
          <w:lang w:val="en-US"/>
        </w:rPr>
        <w:t xml:space="preserve"> </w:t>
      </w:r>
      <w:r>
        <w:rPr>
          <w:rFonts w:cs="Times"/>
          <w:lang w:val="en-US"/>
        </w:rPr>
        <w:t>of the dynamic</w:t>
      </w:r>
      <w:r w:rsidRPr="00052BF0">
        <w:rPr>
          <w:rFonts w:cs="Times"/>
          <w:lang w:val="en-US"/>
        </w:rPr>
        <w:t xml:space="preserve"> study of values PMA depending on age and severity of chronic catarrhal gingivitis </w:t>
      </w:r>
      <w:r>
        <w:rPr>
          <w:rFonts w:cs="Times"/>
          <w:lang w:val="en-US"/>
        </w:rPr>
        <w:t xml:space="preserve"> (CCG) </w:t>
      </w:r>
      <w:r w:rsidRPr="00052BF0">
        <w:rPr>
          <w:rFonts w:cs="Times"/>
          <w:lang w:val="en-US"/>
        </w:rPr>
        <w:t>showed that main group children aged 12-14 years with mild severity of chronic catarrhal gingivitis index PMA equal (24,15 ± 4,21)%, which was 1.4 times more of the data their peers in the comparison group (17,32 ± 4,02)%, p&gt; 0.05).</w:t>
      </w:r>
    </w:p>
    <w:p w:rsidR="00052BF0" w:rsidRDefault="00052BF0" w:rsidP="00AB2D73">
      <w:pPr>
        <w:widowControl w:val="0"/>
        <w:autoSpaceDE w:val="0"/>
        <w:autoSpaceDN w:val="0"/>
        <w:adjustRightInd w:val="0"/>
        <w:spacing w:after="240"/>
        <w:jc w:val="both"/>
        <w:rPr>
          <w:rFonts w:cs="Times"/>
          <w:lang w:val="en-US"/>
        </w:rPr>
      </w:pPr>
      <w:r>
        <w:rPr>
          <w:rFonts w:cs="Times"/>
          <w:lang w:val="en-US"/>
        </w:rPr>
        <w:t>In medium severity ССG</w:t>
      </w:r>
      <w:r w:rsidRPr="00052BF0">
        <w:rPr>
          <w:rFonts w:cs="Times"/>
          <w:lang w:val="en-US"/>
        </w:rPr>
        <w:t xml:space="preserve"> in this age group value of PMA </w:t>
      </w:r>
      <w:r>
        <w:rPr>
          <w:rFonts w:cs="Times"/>
          <w:lang w:val="en-US"/>
        </w:rPr>
        <w:t xml:space="preserve">in </w:t>
      </w:r>
      <w:r w:rsidRPr="00052BF0">
        <w:rPr>
          <w:rFonts w:cs="Times"/>
          <w:lang w:val="en-US"/>
        </w:rPr>
        <w:t>children</w:t>
      </w:r>
      <w:r>
        <w:rPr>
          <w:rFonts w:cs="Times"/>
          <w:lang w:val="en-US"/>
        </w:rPr>
        <w:t xml:space="preserve"> from</w:t>
      </w:r>
      <w:r w:rsidRPr="00052BF0">
        <w:rPr>
          <w:rFonts w:cs="Times"/>
          <w:lang w:val="en-US"/>
        </w:rPr>
        <w:t xml:space="preserve"> main group was (39,18 ± 4,69)%, which was 1.6 times more than the</w:t>
      </w:r>
      <w:r>
        <w:rPr>
          <w:rFonts w:cs="Times"/>
          <w:lang w:val="en-US"/>
        </w:rPr>
        <w:t xml:space="preserve"> value in the comparison group </w:t>
      </w:r>
      <w:r w:rsidRPr="00052BF0">
        <w:rPr>
          <w:rFonts w:cs="Times"/>
          <w:lang w:val="en-US"/>
        </w:rPr>
        <w:t>(24,12 ± 4,69</w:t>
      </w:r>
      <w:proofErr w:type="gramStart"/>
      <w:r w:rsidRPr="00052BF0">
        <w:rPr>
          <w:rFonts w:cs="Times"/>
          <w:lang w:val="en-US"/>
        </w:rPr>
        <w:t xml:space="preserve">) </w:t>
      </w:r>
      <w:r>
        <w:rPr>
          <w:rFonts w:cs="Times"/>
          <w:lang w:val="en-US"/>
        </w:rPr>
        <w:t>,</w:t>
      </w:r>
      <w:proofErr w:type="gramEnd"/>
      <w:r>
        <w:rPr>
          <w:rFonts w:cs="Times"/>
          <w:lang w:val="en-US"/>
        </w:rPr>
        <w:t xml:space="preserve"> p &lt;0.05). In severe degree CCG</w:t>
      </w:r>
      <w:r w:rsidRPr="00052BF0">
        <w:rPr>
          <w:rFonts w:cs="Times"/>
          <w:lang w:val="en-US"/>
        </w:rPr>
        <w:t xml:space="preserve"> in this age group values of PMA in main group of people equal (54,60 ± 4,79)%.</w:t>
      </w:r>
    </w:p>
    <w:p w:rsidR="00052BF0" w:rsidRDefault="00052BF0" w:rsidP="00AB2D73">
      <w:pPr>
        <w:widowControl w:val="0"/>
        <w:autoSpaceDE w:val="0"/>
        <w:autoSpaceDN w:val="0"/>
        <w:adjustRightInd w:val="0"/>
        <w:spacing w:after="240"/>
        <w:jc w:val="both"/>
        <w:rPr>
          <w:rFonts w:cs="Times"/>
          <w:lang w:val="en-US"/>
        </w:rPr>
      </w:pPr>
      <w:r>
        <w:rPr>
          <w:rFonts w:cs="Times"/>
          <w:lang w:val="en-US"/>
        </w:rPr>
        <w:t xml:space="preserve">In </w:t>
      </w:r>
      <w:r w:rsidRPr="00052BF0">
        <w:rPr>
          <w:rFonts w:cs="Times"/>
          <w:lang w:val="en-US"/>
        </w:rPr>
        <w:t>15-17-year-olds</w:t>
      </w:r>
      <w:r>
        <w:rPr>
          <w:rFonts w:cs="Times"/>
          <w:lang w:val="en-US"/>
        </w:rPr>
        <w:t xml:space="preserve"> teenagers</w:t>
      </w:r>
      <w:r w:rsidR="00FB0D3B">
        <w:rPr>
          <w:rFonts w:cs="Times"/>
          <w:lang w:val="en-US"/>
        </w:rPr>
        <w:t xml:space="preserve"> from</w:t>
      </w:r>
      <w:r w:rsidRPr="00052BF0">
        <w:rPr>
          <w:rFonts w:cs="Times"/>
          <w:lang w:val="en-US"/>
        </w:rPr>
        <w:t xml:space="preserve"> the main g</w:t>
      </w:r>
      <w:r w:rsidR="00FB0D3B">
        <w:rPr>
          <w:rFonts w:cs="Times"/>
          <w:lang w:val="en-US"/>
        </w:rPr>
        <w:t xml:space="preserve">roup mild severity CCG index of </w:t>
      </w:r>
      <w:r w:rsidRPr="00052BF0">
        <w:rPr>
          <w:rFonts w:cs="Times"/>
          <w:lang w:val="en-US"/>
        </w:rPr>
        <w:t>PMA amounted (24,95 ± 4,39)%, which was 1.5 times more than similar values in children comparative groups (p&gt; 0.05).</w:t>
      </w:r>
      <w:r w:rsidR="00FB0D3B">
        <w:rPr>
          <w:rFonts w:cs="Times"/>
          <w:lang w:val="en-US"/>
        </w:rPr>
        <w:t xml:space="preserve"> M</w:t>
      </w:r>
      <w:r w:rsidR="00FB0D3B" w:rsidRPr="00FB0D3B">
        <w:rPr>
          <w:rFonts w:cs="Times"/>
          <w:lang w:val="en-US"/>
        </w:rPr>
        <w:t>edium degree of severity</w:t>
      </w:r>
      <w:r w:rsidR="00FB0D3B">
        <w:rPr>
          <w:rFonts w:cs="Times"/>
          <w:lang w:val="en-US"/>
        </w:rPr>
        <w:t xml:space="preserve"> of CCG in adolescents</w:t>
      </w:r>
      <w:r w:rsidR="00FB0D3B" w:rsidRPr="00FB0D3B">
        <w:rPr>
          <w:rFonts w:cs="Times"/>
          <w:lang w:val="en-US"/>
        </w:rPr>
        <w:t xml:space="preserve"> this age group values of PMA (48,14 ± 4,80)% was 1</w:t>
      </w:r>
      <w:r w:rsidR="00FB0D3B">
        <w:rPr>
          <w:rFonts w:cs="Times"/>
          <w:lang w:val="en-US"/>
        </w:rPr>
        <w:t xml:space="preserve">.4 times higher in children from comparison group </w:t>
      </w:r>
      <w:r w:rsidR="00FB0D3B" w:rsidRPr="00FB0D3B">
        <w:rPr>
          <w:rFonts w:cs="Times"/>
          <w:lang w:val="en-US"/>
        </w:rPr>
        <w:t>(34,15 ± 5,20)%, p &lt;0, 05).</w:t>
      </w:r>
      <w:r w:rsidR="00FB0D3B">
        <w:rPr>
          <w:rFonts w:cs="Times"/>
          <w:lang w:val="en-US"/>
        </w:rPr>
        <w:t xml:space="preserve"> </w:t>
      </w:r>
      <w:r w:rsidR="00FB0D3B" w:rsidRPr="00FB0D3B">
        <w:rPr>
          <w:rFonts w:cs="Times"/>
          <w:lang w:val="en-US"/>
        </w:rPr>
        <w:t>In severe degree</w:t>
      </w:r>
      <w:r w:rsidR="00FB0D3B">
        <w:rPr>
          <w:rFonts w:cs="Times"/>
          <w:lang w:val="en-US"/>
        </w:rPr>
        <w:t xml:space="preserve"> of CCG</w:t>
      </w:r>
      <w:r w:rsidR="00FB0D3B" w:rsidRPr="00FB0D3B">
        <w:rPr>
          <w:rFonts w:cs="Times"/>
          <w:lang w:val="en-US"/>
        </w:rPr>
        <w:t xml:space="preserve"> in 15-17-year-olds main group examined values of PMA exceeding 1.4 times relative to </w:t>
      </w:r>
      <w:r w:rsidR="00FB0D3B">
        <w:rPr>
          <w:rFonts w:cs="Times"/>
          <w:lang w:val="en-US"/>
        </w:rPr>
        <w:t xml:space="preserve">comparative data group </w:t>
      </w:r>
      <w:r w:rsidR="00FB0D3B" w:rsidRPr="00FB0D3B">
        <w:rPr>
          <w:rFonts w:cs="Times"/>
          <w:lang w:val="en-US"/>
        </w:rPr>
        <w:t>(65,48 ± 4,57)% against (48,05 ± 5,48)%, p &lt;0.05).</w:t>
      </w:r>
    </w:p>
    <w:p w:rsidR="00FB0D3B" w:rsidRPr="00EC7871" w:rsidRDefault="00FB0D3B" w:rsidP="00AB2D73">
      <w:pPr>
        <w:widowControl w:val="0"/>
        <w:autoSpaceDE w:val="0"/>
        <w:autoSpaceDN w:val="0"/>
        <w:adjustRightInd w:val="0"/>
        <w:spacing w:after="240"/>
        <w:jc w:val="both"/>
        <w:rPr>
          <w:rFonts w:cs="Times"/>
          <w:lang w:val="en-US"/>
        </w:rPr>
      </w:pPr>
      <w:r w:rsidRPr="00FB0D3B">
        <w:rPr>
          <w:rFonts w:cs="Times"/>
          <w:lang w:val="en-US"/>
        </w:rPr>
        <w:t xml:space="preserve">Thus, the average index of PMA </w:t>
      </w:r>
      <w:r>
        <w:rPr>
          <w:rFonts w:cs="Times"/>
          <w:lang w:val="en-US"/>
        </w:rPr>
        <w:t>depending on the severity of ССG</w:t>
      </w:r>
      <w:r w:rsidR="00EC7871">
        <w:rPr>
          <w:rFonts w:cs="Times"/>
          <w:lang w:val="en-US"/>
        </w:rPr>
        <w:t xml:space="preserve"> in main group was</w:t>
      </w:r>
      <w:r w:rsidRPr="00FB0D3B">
        <w:rPr>
          <w:rFonts w:cs="Times"/>
          <w:lang w:val="en-US"/>
        </w:rPr>
        <w:t xml:space="preserve"> higher </w:t>
      </w:r>
      <w:r w:rsidR="00EC7871">
        <w:rPr>
          <w:rFonts w:cs="Times"/>
          <w:lang w:val="en-US"/>
        </w:rPr>
        <w:t xml:space="preserve">due to </w:t>
      </w:r>
      <w:r w:rsidRPr="00FB0D3B">
        <w:rPr>
          <w:rFonts w:cs="Times"/>
          <w:lang w:val="en-US"/>
        </w:rPr>
        <w:t xml:space="preserve">comparative data groups: </w:t>
      </w:r>
      <w:r w:rsidR="00EC7871">
        <w:rPr>
          <w:rFonts w:cs="Times"/>
          <w:lang w:val="en-US"/>
        </w:rPr>
        <w:t>mild</w:t>
      </w:r>
      <w:r w:rsidR="00EC7871" w:rsidRPr="00BC726D">
        <w:rPr>
          <w:rFonts w:cs="Times"/>
          <w:lang w:val="en-US"/>
        </w:rPr>
        <w:t xml:space="preserve"> severity</w:t>
      </w:r>
      <w:r w:rsidR="00EC7871">
        <w:rPr>
          <w:rFonts w:cs="Times"/>
          <w:lang w:val="en-US"/>
        </w:rPr>
        <w:t xml:space="preserve"> CCG </w:t>
      </w:r>
      <w:r w:rsidR="00EC7871" w:rsidRPr="00FB0D3B">
        <w:rPr>
          <w:rFonts w:cs="Times"/>
          <w:lang w:val="en-US"/>
        </w:rPr>
        <w:t xml:space="preserve"> </w:t>
      </w:r>
      <w:r w:rsidR="00EC7871">
        <w:rPr>
          <w:rFonts w:cs="Times"/>
          <w:lang w:val="en-US"/>
        </w:rPr>
        <w:t>- 1.3 times (</w:t>
      </w:r>
      <w:r w:rsidRPr="00FB0D3B">
        <w:rPr>
          <w:rFonts w:cs="Times"/>
          <w:lang w:val="en-US"/>
        </w:rPr>
        <w:t xml:space="preserve">(24.55)% against (18.34)%, respectively); with </w:t>
      </w:r>
      <w:r w:rsidR="00EC7871">
        <w:rPr>
          <w:rFonts w:cs="Times"/>
          <w:lang w:val="en-US"/>
        </w:rPr>
        <w:t>medium severity CCG - 1.5 times (</w:t>
      </w:r>
      <w:r w:rsidRPr="00FB0D3B">
        <w:rPr>
          <w:rFonts w:cs="Times"/>
          <w:lang w:val="en-US"/>
        </w:rPr>
        <w:t>(43.66)% against (2</w:t>
      </w:r>
      <w:r w:rsidR="00EC7871">
        <w:rPr>
          <w:rFonts w:cs="Times"/>
          <w:lang w:val="en-US"/>
        </w:rPr>
        <w:t>9.13)%) and in severe degree CCG - 1.2 times (</w:t>
      </w:r>
      <w:r w:rsidRPr="00FB0D3B">
        <w:rPr>
          <w:rFonts w:cs="Times"/>
          <w:lang w:val="en-US"/>
        </w:rPr>
        <w:t>(60.0)% versus (48.05)</w:t>
      </w:r>
      <w:proofErr w:type="gramStart"/>
      <w:r w:rsidRPr="00FB0D3B">
        <w:rPr>
          <w:rFonts w:cs="Times"/>
          <w:lang w:val="en-US"/>
        </w:rPr>
        <w:t>% )</w:t>
      </w:r>
      <w:proofErr w:type="gramEnd"/>
      <w:r w:rsidR="00EC7871">
        <w:rPr>
          <w:rFonts w:cs="Times"/>
          <w:lang w:val="en-US"/>
        </w:rPr>
        <w:t>. (</w:t>
      </w:r>
      <w:proofErr w:type="gramStart"/>
      <w:r w:rsidR="00EC7871">
        <w:rPr>
          <w:rFonts w:cs="Times"/>
          <w:lang w:val="en-US"/>
        </w:rPr>
        <w:t>figure</w:t>
      </w:r>
      <w:proofErr w:type="gramEnd"/>
      <w:r w:rsidR="00EC7871">
        <w:rPr>
          <w:rFonts w:cs="Times"/>
          <w:lang w:val="en-US"/>
        </w:rPr>
        <w:t xml:space="preserve"> 1)</w:t>
      </w:r>
    </w:p>
    <w:p w:rsidR="00EC7871" w:rsidRDefault="00EC7871" w:rsidP="00EC7871">
      <w:pPr>
        <w:widowControl w:val="0"/>
        <w:autoSpaceDE w:val="0"/>
        <w:autoSpaceDN w:val="0"/>
        <w:adjustRightInd w:val="0"/>
        <w:spacing w:after="240"/>
        <w:jc w:val="right"/>
        <w:rPr>
          <w:rFonts w:cs="Times"/>
          <w:lang w:val="en-US"/>
        </w:rPr>
      </w:pPr>
      <w:r>
        <w:rPr>
          <w:rFonts w:cs="Times"/>
          <w:lang w:val="en-US"/>
        </w:rPr>
        <w:t>Figure 1</w:t>
      </w:r>
    </w:p>
    <w:p w:rsidR="00EC7871" w:rsidRDefault="000A09EE" w:rsidP="000A09EE">
      <w:pPr>
        <w:widowControl w:val="0"/>
        <w:autoSpaceDE w:val="0"/>
        <w:autoSpaceDN w:val="0"/>
        <w:adjustRightInd w:val="0"/>
        <w:spacing w:after="240"/>
        <w:jc w:val="center"/>
        <w:rPr>
          <w:rFonts w:cs="Times"/>
          <w:lang w:val="en-US"/>
        </w:rPr>
      </w:pPr>
      <w:r>
        <w:rPr>
          <w:rFonts w:cs="Times"/>
          <w:lang w:val="en-US"/>
        </w:rPr>
        <w:t xml:space="preserve">Average value </w:t>
      </w:r>
      <w:proofErr w:type="gramStart"/>
      <w:r>
        <w:rPr>
          <w:rFonts w:cs="Times"/>
          <w:lang w:val="en-US"/>
        </w:rPr>
        <w:t xml:space="preserve">of </w:t>
      </w:r>
      <w:r w:rsidRPr="000A09EE">
        <w:rPr>
          <w:rFonts w:cs="Times"/>
          <w:lang w:val="en-US"/>
        </w:rPr>
        <w:t xml:space="preserve"> PMA</w:t>
      </w:r>
      <w:proofErr w:type="gramEnd"/>
      <w:r w:rsidRPr="000A09EE">
        <w:rPr>
          <w:rFonts w:cs="Times"/>
          <w:lang w:val="en-US"/>
        </w:rPr>
        <w:t xml:space="preserve"> index </w:t>
      </w:r>
      <w:r>
        <w:rPr>
          <w:rFonts w:cs="Times"/>
          <w:lang w:val="en-US"/>
        </w:rPr>
        <w:t>depending on the severity of ССG</w:t>
      </w:r>
      <w:r w:rsidRPr="000A09EE">
        <w:rPr>
          <w:rFonts w:cs="Times"/>
          <w:lang w:val="en-US"/>
        </w:rPr>
        <w:t xml:space="preserve"> </w:t>
      </w:r>
      <w:r>
        <w:rPr>
          <w:rFonts w:cs="Times"/>
          <w:lang w:val="en-US"/>
        </w:rPr>
        <w:t xml:space="preserve"> in </w:t>
      </w:r>
      <w:r w:rsidRPr="000A09EE">
        <w:rPr>
          <w:rFonts w:cs="Times"/>
          <w:lang w:val="en-US"/>
        </w:rPr>
        <w:t>research groups</w:t>
      </w:r>
    </w:p>
    <w:p w:rsidR="007C078F" w:rsidRDefault="007C078F" w:rsidP="000A09EE">
      <w:pPr>
        <w:widowControl w:val="0"/>
        <w:autoSpaceDE w:val="0"/>
        <w:autoSpaceDN w:val="0"/>
        <w:adjustRightInd w:val="0"/>
        <w:spacing w:after="240"/>
        <w:jc w:val="center"/>
        <w:rPr>
          <w:rFonts w:cs="Times"/>
          <w:lang w:val="en-US"/>
        </w:rPr>
      </w:pPr>
      <w:r>
        <w:rPr>
          <w:noProof/>
          <w:lang w:val="en-US"/>
        </w:rPr>
        <w:drawing>
          <wp:inline distT="0" distB="0" distL="0" distR="0" wp14:anchorId="21AE8C71" wp14:editId="404EA1BE">
            <wp:extent cx="4572000" cy="2743200"/>
            <wp:effectExtent l="0" t="0" r="25400" b="254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C7871" w:rsidRDefault="00EC7871" w:rsidP="00EC7871">
      <w:pPr>
        <w:widowControl w:val="0"/>
        <w:autoSpaceDE w:val="0"/>
        <w:autoSpaceDN w:val="0"/>
        <w:adjustRightInd w:val="0"/>
        <w:spacing w:after="240"/>
        <w:jc w:val="center"/>
        <w:rPr>
          <w:rFonts w:cs="Times"/>
          <w:lang w:val="en-US"/>
        </w:rPr>
      </w:pPr>
    </w:p>
    <w:p w:rsidR="00052BF0" w:rsidRDefault="000A09EE" w:rsidP="000A09EE">
      <w:pPr>
        <w:widowControl w:val="0"/>
        <w:autoSpaceDE w:val="0"/>
        <w:autoSpaceDN w:val="0"/>
        <w:adjustRightInd w:val="0"/>
        <w:spacing w:after="240"/>
        <w:jc w:val="both"/>
        <w:rPr>
          <w:rFonts w:cs="Times"/>
          <w:lang w:val="en-US"/>
        </w:rPr>
      </w:pPr>
      <w:r w:rsidRPr="000A09EE">
        <w:rPr>
          <w:rFonts w:cs="Times"/>
          <w:lang w:val="en-US"/>
        </w:rPr>
        <w:t>Evaluation of information the intensity of bleeding gums in children showed that main group people aged 12-14 years with mild gingivitis</w:t>
      </w:r>
      <w:r>
        <w:rPr>
          <w:rFonts w:cs="Times"/>
          <w:lang w:val="en-US"/>
        </w:rPr>
        <w:t>, bleeding index was</w:t>
      </w:r>
      <w:r w:rsidRPr="000A09EE">
        <w:rPr>
          <w:rFonts w:cs="Times"/>
          <w:lang w:val="en-US"/>
        </w:rPr>
        <w:t xml:space="preserve"> equal to (1,27 ± 0,014) points, which was 2.0 times higher than in the corresponding values in the </w:t>
      </w:r>
      <w:r>
        <w:rPr>
          <w:rFonts w:cs="Times"/>
          <w:lang w:val="en-US"/>
        </w:rPr>
        <w:t>comparative</w:t>
      </w:r>
      <w:r w:rsidRPr="000A09EE">
        <w:rPr>
          <w:rFonts w:cs="Times"/>
          <w:lang w:val="en-US"/>
        </w:rPr>
        <w:t xml:space="preserve"> group ((0,61 ± 0,014) points, p &lt;0.01).</w:t>
      </w:r>
    </w:p>
    <w:p w:rsidR="008A58CA" w:rsidRDefault="008A58CA" w:rsidP="000A09EE">
      <w:pPr>
        <w:widowControl w:val="0"/>
        <w:autoSpaceDE w:val="0"/>
        <w:autoSpaceDN w:val="0"/>
        <w:adjustRightInd w:val="0"/>
        <w:spacing w:after="240"/>
        <w:jc w:val="both"/>
        <w:rPr>
          <w:rFonts w:cs="Times"/>
          <w:lang w:val="en-US"/>
        </w:rPr>
      </w:pPr>
      <w:r w:rsidRPr="008A58CA">
        <w:rPr>
          <w:rFonts w:cs="Times"/>
          <w:lang w:val="en-US"/>
        </w:rPr>
        <w:t xml:space="preserve">In a medium severity in children of the main group bleeding </w:t>
      </w:r>
      <w:proofErr w:type="gramStart"/>
      <w:r w:rsidRPr="008A58CA">
        <w:rPr>
          <w:rFonts w:cs="Times"/>
          <w:lang w:val="en-US"/>
        </w:rPr>
        <w:t>ind</w:t>
      </w:r>
      <w:r>
        <w:rPr>
          <w:rFonts w:cs="Times"/>
          <w:lang w:val="en-US"/>
        </w:rPr>
        <w:t xml:space="preserve">ex </w:t>
      </w:r>
      <w:r>
        <w:rPr>
          <w:rFonts w:cs="Times"/>
        </w:rPr>
        <w:t xml:space="preserve"> </w:t>
      </w:r>
      <w:r>
        <w:rPr>
          <w:rFonts w:cs="Times"/>
          <w:lang w:val="en-US"/>
        </w:rPr>
        <w:t>was</w:t>
      </w:r>
      <w:proofErr w:type="gramEnd"/>
      <w:r w:rsidRPr="008A58CA">
        <w:rPr>
          <w:rFonts w:cs="Times"/>
          <w:lang w:val="en-US"/>
        </w:rPr>
        <w:t xml:space="preserve"> (1,82 ± 0,013) points, which exceeded the</w:t>
      </w:r>
      <w:r>
        <w:rPr>
          <w:rFonts w:cs="Times"/>
          <w:lang w:val="en-US"/>
        </w:rPr>
        <w:t xml:space="preserve"> similar value in the comparative</w:t>
      </w:r>
      <w:r w:rsidRPr="008A58CA">
        <w:rPr>
          <w:rFonts w:cs="Times"/>
          <w:lang w:val="en-US"/>
        </w:rPr>
        <w:t xml:space="preserve"> group ((1,42 ± 0,015) points, p &lt;0.01) by 1.3 times. In </w:t>
      </w:r>
      <w:r>
        <w:rPr>
          <w:rFonts w:cs="Times"/>
          <w:lang w:val="en-US"/>
        </w:rPr>
        <w:t xml:space="preserve">heavy severity of CCG the </w:t>
      </w:r>
      <w:r w:rsidRPr="008A58CA">
        <w:rPr>
          <w:rFonts w:cs="Times"/>
          <w:lang w:val="en-US"/>
        </w:rPr>
        <w:t xml:space="preserve">index bleeding </w:t>
      </w:r>
      <w:r>
        <w:rPr>
          <w:rFonts w:cs="Times"/>
          <w:lang w:val="en-US"/>
        </w:rPr>
        <w:t>was</w:t>
      </w:r>
      <w:r w:rsidRPr="008A58CA">
        <w:rPr>
          <w:rFonts w:cs="Times"/>
          <w:lang w:val="en-US"/>
        </w:rPr>
        <w:t xml:space="preserve"> (2,47 ± 0,014) points.</w:t>
      </w:r>
    </w:p>
    <w:p w:rsidR="008A58CA" w:rsidRDefault="008A58CA" w:rsidP="000A09EE">
      <w:pPr>
        <w:widowControl w:val="0"/>
        <w:autoSpaceDE w:val="0"/>
        <w:autoSpaceDN w:val="0"/>
        <w:adjustRightInd w:val="0"/>
        <w:spacing w:after="240"/>
        <w:jc w:val="both"/>
        <w:rPr>
          <w:rFonts w:cs="Times"/>
          <w:lang w:val="en-US"/>
        </w:rPr>
      </w:pPr>
      <w:r w:rsidRPr="008A58CA">
        <w:rPr>
          <w:rFonts w:cs="Times"/>
          <w:lang w:val="en-US"/>
        </w:rPr>
        <w:t>In mild</w:t>
      </w:r>
      <w:r>
        <w:rPr>
          <w:rFonts w:cs="Times"/>
          <w:lang w:val="en-US"/>
        </w:rPr>
        <w:t xml:space="preserve"> severity of CCG</w:t>
      </w:r>
      <w:r w:rsidRPr="008A58CA">
        <w:rPr>
          <w:rFonts w:cs="Times"/>
          <w:lang w:val="en-US"/>
        </w:rPr>
        <w:t xml:space="preserve"> in children of the main group aged 15-17 years </w:t>
      </w:r>
      <w:r>
        <w:rPr>
          <w:rFonts w:cs="Times"/>
          <w:lang w:val="en-US"/>
        </w:rPr>
        <w:t xml:space="preserve">the </w:t>
      </w:r>
      <w:r w:rsidRPr="008A58CA">
        <w:rPr>
          <w:rFonts w:cs="Times"/>
          <w:lang w:val="en-US"/>
        </w:rPr>
        <w:t>index bleeding exceeded the</w:t>
      </w:r>
      <w:r>
        <w:rPr>
          <w:rFonts w:cs="Times"/>
          <w:lang w:val="en-US"/>
        </w:rPr>
        <w:t xml:space="preserve"> similar value in the </w:t>
      </w:r>
      <w:proofErr w:type="spellStart"/>
      <w:r>
        <w:rPr>
          <w:rFonts w:cs="Times"/>
          <w:lang w:val="en-US"/>
        </w:rPr>
        <w:t>compative</w:t>
      </w:r>
      <w:proofErr w:type="spellEnd"/>
      <w:r w:rsidRPr="008A58CA">
        <w:rPr>
          <w:rFonts w:cs="Times"/>
          <w:lang w:val="en-US"/>
        </w:rPr>
        <w:t xml:space="preserve"> group 1.6 times ((1,68 ± 0,012) points against (1,08 ± 0,016) points, respectively, p &lt;0.01</w:t>
      </w:r>
      <w:proofErr w:type="gramStart"/>
      <w:r w:rsidRPr="008A58CA">
        <w:rPr>
          <w:rFonts w:cs="Times"/>
          <w:lang w:val="en-US"/>
        </w:rPr>
        <w:t>) .</w:t>
      </w:r>
      <w:proofErr w:type="gramEnd"/>
    </w:p>
    <w:p w:rsidR="008A58CA" w:rsidRPr="00BC726D" w:rsidRDefault="008A58CA" w:rsidP="000A09EE">
      <w:pPr>
        <w:widowControl w:val="0"/>
        <w:autoSpaceDE w:val="0"/>
        <w:autoSpaceDN w:val="0"/>
        <w:adjustRightInd w:val="0"/>
        <w:spacing w:after="240"/>
        <w:jc w:val="both"/>
        <w:rPr>
          <w:rFonts w:cs="Times"/>
          <w:lang w:val="en-US"/>
        </w:rPr>
      </w:pPr>
      <w:r>
        <w:rPr>
          <w:rFonts w:cs="Times"/>
          <w:lang w:val="en-US"/>
        </w:rPr>
        <w:t>In a medium severity CCG</w:t>
      </w:r>
      <w:r w:rsidRPr="008A58CA">
        <w:rPr>
          <w:rFonts w:cs="Times"/>
          <w:lang w:val="en-US"/>
        </w:rPr>
        <w:t xml:space="preserve"> in this age </w:t>
      </w:r>
      <w:proofErr w:type="gramStart"/>
      <w:r w:rsidRPr="008A58CA">
        <w:rPr>
          <w:rFonts w:cs="Times"/>
          <w:lang w:val="en-US"/>
        </w:rPr>
        <w:t>interval</w:t>
      </w:r>
      <w:r w:rsidR="00FB6D0B">
        <w:rPr>
          <w:rFonts w:cs="Times"/>
          <w:lang w:val="en-US"/>
        </w:rPr>
        <w:t xml:space="preserve"> </w:t>
      </w:r>
      <w:r w:rsidRPr="008A58CA">
        <w:rPr>
          <w:rFonts w:cs="Times"/>
          <w:lang w:val="en-US"/>
        </w:rPr>
        <w:t xml:space="preserve"> </w:t>
      </w:r>
      <w:r w:rsidR="00FB6D0B">
        <w:rPr>
          <w:rFonts w:cs="Times"/>
          <w:lang w:val="en-US"/>
        </w:rPr>
        <w:t>the</w:t>
      </w:r>
      <w:proofErr w:type="gramEnd"/>
      <w:r w:rsidR="00FB6D0B">
        <w:rPr>
          <w:rFonts w:cs="Times"/>
          <w:lang w:val="en-US"/>
        </w:rPr>
        <w:t xml:space="preserve"> </w:t>
      </w:r>
      <w:r w:rsidR="00FB6D0B" w:rsidRPr="008A58CA">
        <w:rPr>
          <w:rFonts w:cs="Times"/>
          <w:lang w:val="en-US"/>
        </w:rPr>
        <w:t>index bleeding</w:t>
      </w:r>
      <w:r w:rsidR="00FB6D0B">
        <w:rPr>
          <w:rFonts w:cs="Times"/>
          <w:lang w:val="en-US"/>
        </w:rPr>
        <w:t xml:space="preserve"> </w:t>
      </w:r>
      <w:r w:rsidRPr="008A58CA">
        <w:rPr>
          <w:rFonts w:cs="Times"/>
          <w:lang w:val="en-US"/>
        </w:rPr>
        <w:t>with a value of (2,09 ± 0,013) points higher than the corre</w:t>
      </w:r>
      <w:r w:rsidR="00FB6D0B">
        <w:rPr>
          <w:rFonts w:cs="Times"/>
          <w:lang w:val="en-US"/>
        </w:rPr>
        <w:t>sponding value in the comparative</w:t>
      </w:r>
      <w:r w:rsidRPr="008A58CA">
        <w:rPr>
          <w:rFonts w:cs="Times"/>
          <w:lang w:val="en-US"/>
        </w:rPr>
        <w:t xml:space="preserve"> group (1,82 ± 0,015) by 1.2 points (p &lt;0.01). In </w:t>
      </w:r>
      <w:r w:rsidR="00FB6D0B">
        <w:rPr>
          <w:rFonts w:cs="Times"/>
          <w:lang w:val="en-US"/>
        </w:rPr>
        <w:t xml:space="preserve">heavy </w:t>
      </w:r>
      <w:r w:rsidRPr="008A58CA">
        <w:rPr>
          <w:rFonts w:cs="Times"/>
          <w:lang w:val="en-US"/>
        </w:rPr>
        <w:t>sever</w:t>
      </w:r>
      <w:r w:rsidR="00FB6D0B">
        <w:rPr>
          <w:rFonts w:cs="Times"/>
          <w:lang w:val="en-US"/>
        </w:rPr>
        <w:t>ity CCG</w:t>
      </w:r>
      <w:r w:rsidRPr="008A58CA">
        <w:rPr>
          <w:rFonts w:cs="Times"/>
          <w:lang w:val="en-US"/>
        </w:rPr>
        <w:t xml:space="preserve"> examined the </w:t>
      </w:r>
      <w:proofErr w:type="gramStart"/>
      <w:r w:rsidRPr="008A58CA">
        <w:rPr>
          <w:rFonts w:cs="Times"/>
          <w:lang w:val="en-US"/>
        </w:rPr>
        <w:t xml:space="preserve">degree </w:t>
      </w:r>
      <w:r w:rsidR="00FB6D0B">
        <w:rPr>
          <w:rFonts w:cs="Times"/>
          <w:lang w:val="en-US"/>
        </w:rPr>
        <w:t xml:space="preserve"> </w:t>
      </w:r>
      <w:r w:rsidRPr="008A58CA">
        <w:rPr>
          <w:rFonts w:cs="Times"/>
          <w:lang w:val="en-US"/>
        </w:rPr>
        <w:t>of</w:t>
      </w:r>
      <w:proofErr w:type="gramEnd"/>
      <w:r w:rsidRPr="008A58CA">
        <w:rPr>
          <w:rFonts w:cs="Times"/>
          <w:lang w:val="en-US"/>
        </w:rPr>
        <w:t xml:space="preserve"> </w:t>
      </w:r>
      <w:r w:rsidR="00FB6D0B">
        <w:rPr>
          <w:rFonts w:cs="Times"/>
          <w:lang w:val="en-US"/>
        </w:rPr>
        <w:t xml:space="preserve">the </w:t>
      </w:r>
      <w:r w:rsidR="00FB6D0B" w:rsidRPr="008A58CA">
        <w:rPr>
          <w:rFonts w:cs="Times"/>
          <w:lang w:val="en-US"/>
        </w:rPr>
        <w:t>index bleeding</w:t>
      </w:r>
      <w:r w:rsidR="00FB6D0B">
        <w:rPr>
          <w:rFonts w:cs="Times"/>
          <w:lang w:val="en-US"/>
        </w:rPr>
        <w:t xml:space="preserve"> </w:t>
      </w:r>
      <w:r w:rsidRPr="008A58CA">
        <w:rPr>
          <w:rFonts w:cs="Times"/>
          <w:lang w:val="en-US"/>
        </w:rPr>
        <w:t xml:space="preserve">excess value in </w:t>
      </w:r>
      <w:r w:rsidR="00FB6D0B" w:rsidRPr="008A58CA">
        <w:rPr>
          <w:rFonts w:cs="Times"/>
          <w:lang w:val="en-US"/>
        </w:rPr>
        <w:t xml:space="preserve">teens </w:t>
      </w:r>
      <w:r w:rsidRPr="008A58CA">
        <w:rPr>
          <w:rFonts w:cs="Times"/>
          <w:lang w:val="en-US"/>
        </w:rPr>
        <w:t>of the main group 1.3 times relative to relevant data in their peers in the comparison group ((2,94 ± 0,014) points against (2,27 ± 0,015) points, respectively, p &lt;0.01) .</w:t>
      </w:r>
    </w:p>
    <w:p w:rsidR="00FB6D0B" w:rsidRDefault="00FB6D0B" w:rsidP="00FB6D0B">
      <w:pPr>
        <w:widowControl w:val="0"/>
        <w:autoSpaceDE w:val="0"/>
        <w:autoSpaceDN w:val="0"/>
        <w:adjustRightInd w:val="0"/>
        <w:spacing w:after="240"/>
        <w:jc w:val="both"/>
        <w:rPr>
          <w:rFonts w:cs="Times"/>
          <w:lang w:val="en-US"/>
        </w:rPr>
      </w:pPr>
      <w:r w:rsidRPr="00FB6D0B">
        <w:rPr>
          <w:rFonts w:cs="Times"/>
          <w:lang w:val="en-US"/>
        </w:rPr>
        <w:t>Thu</w:t>
      </w:r>
      <w:r>
        <w:rPr>
          <w:rFonts w:cs="Times"/>
          <w:lang w:val="en-US"/>
        </w:rPr>
        <w:t>s, on average, children with CCG</w:t>
      </w:r>
      <w:r w:rsidRPr="00FB6D0B">
        <w:rPr>
          <w:rFonts w:cs="Times"/>
          <w:lang w:val="en-US"/>
        </w:rPr>
        <w:t xml:space="preserve"> patients with chronic gastritis, determined index bleeding gums increase 1.5 times relative to the </w:t>
      </w:r>
      <w:r>
        <w:rPr>
          <w:rFonts w:cs="Times"/>
          <w:lang w:val="en-US"/>
        </w:rPr>
        <w:t>data obtained in children with CCG</w:t>
      </w:r>
      <w:r w:rsidRPr="00FB6D0B">
        <w:rPr>
          <w:rFonts w:cs="Times"/>
          <w:lang w:val="en-US"/>
        </w:rPr>
        <w:t xml:space="preserve"> w</w:t>
      </w:r>
      <w:r>
        <w:rPr>
          <w:rFonts w:cs="Times"/>
          <w:lang w:val="en-US"/>
        </w:rPr>
        <w:t>ithout systemic diseases (Table</w:t>
      </w:r>
      <w:r w:rsidRPr="00FB6D0B">
        <w:rPr>
          <w:rFonts w:cs="Times"/>
          <w:lang w:val="en-US"/>
        </w:rPr>
        <w:t xml:space="preserve"> 2).</w:t>
      </w:r>
    </w:p>
    <w:p w:rsidR="009A013D" w:rsidRDefault="009A013D" w:rsidP="009A013D">
      <w:pPr>
        <w:widowControl w:val="0"/>
        <w:autoSpaceDE w:val="0"/>
        <w:autoSpaceDN w:val="0"/>
        <w:adjustRightInd w:val="0"/>
        <w:spacing w:after="240"/>
        <w:jc w:val="right"/>
        <w:rPr>
          <w:rFonts w:cs="Times"/>
          <w:lang w:val="en-US"/>
        </w:rPr>
      </w:pPr>
      <w:r>
        <w:rPr>
          <w:rFonts w:cs="Times"/>
          <w:lang w:val="en-US"/>
        </w:rPr>
        <w:t>Table</w:t>
      </w:r>
      <w:r w:rsidRPr="00FB6D0B">
        <w:rPr>
          <w:rFonts w:cs="Times"/>
          <w:lang w:val="en-US"/>
        </w:rPr>
        <w:t xml:space="preserve"> 2</w:t>
      </w:r>
    </w:p>
    <w:p w:rsidR="009A013D" w:rsidRDefault="009A013D" w:rsidP="009A013D">
      <w:pPr>
        <w:widowControl w:val="0"/>
        <w:autoSpaceDE w:val="0"/>
        <w:autoSpaceDN w:val="0"/>
        <w:adjustRightInd w:val="0"/>
        <w:spacing w:after="240"/>
        <w:jc w:val="center"/>
        <w:rPr>
          <w:rFonts w:cs="Times"/>
          <w:lang w:val="en-US"/>
        </w:rPr>
      </w:pPr>
      <w:r w:rsidRPr="009A013D">
        <w:rPr>
          <w:rFonts w:cs="Times"/>
          <w:lang w:val="en-US"/>
        </w:rPr>
        <w:t>Indicators of bleeding index in children, d</w:t>
      </w:r>
      <w:r>
        <w:rPr>
          <w:rFonts w:cs="Times"/>
          <w:lang w:val="en-US"/>
        </w:rPr>
        <w:t>epending on age and severity of CCG</w:t>
      </w:r>
    </w:p>
    <w:tbl>
      <w:tblPr>
        <w:tblStyle w:val="a3"/>
        <w:tblW w:w="0" w:type="auto"/>
        <w:tblInd w:w="817" w:type="dxa"/>
        <w:tblLook w:val="04A0" w:firstRow="1" w:lastRow="0" w:firstColumn="1" w:lastColumn="0" w:noHBand="0" w:noVBand="1"/>
      </w:tblPr>
      <w:tblGrid>
        <w:gridCol w:w="1134"/>
        <w:gridCol w:w="1735"/>
        <w:gridCol w:w="1809"/>
        <w:gridCol w:w="1452"/>
        <w:gridCol w:w="1666"/>
      </w:tblGrid>
      <w:tr w:rsidR="009A013D" w:rsidTr="009A013D">
        <w:tc>
          <w:tcPr>
            <w:tcW w:w="1134" w:type="dxa"/>
            <w:vMerge w:val="restart"/>
          </w:tcPr>
          <w:p w:rsidR="009A013D" w:rsidRDefault="009A013D" w:rsidP="00FB6D0B">
            <w:pPr>
              <w:widowControl w:val="0"/>
              <w:autoSpaceDE w:val="0"/>
              <w:autoSpaceDN w:val="0"/>
              <w:adjustRightInd w:val="0"/>
              <w:spacing w:after="240"/>
              <w:jc w:val="center"/>
              <w:rPr>
                <w:rFonts w:cs="Times"/>
                <w:lang w:val="en-US"/>
              </w:rPr>
            </w:pPr>
          </w:p>
          <w:p w:rsidR="009A013D" w:rsidRPr="00FB6D0B" w:rsidRDefault="009A013D" w:rsidP="00FB6D0B">
            <w:pPr>
              <w:widowControl w:val="0"/>
              <w:autoSpaceDE w:val="0"/>
              <w:autoSpaceDN w:val="0"/>
              <w:adjustRightInd w:val="0"/>
              <w:spacing w:after="240"/>
              <w:jc w:val="center"/>
              <w:rPr>
                <w:rFonts w:cs="Times"/>
                <w:lang w:val="en-US"/>
              </w:rPr>
            </w:pPr>
            <w:r>
              <w:rPr>
                <w:rFonts w:cs="Times"/>
                <w:lang w:val="en-US"/>
              </w:rPr>
              <w:t>S</w:t>
            </w:r>
            <w:r w:rsidRPr="00FB6D0B">
              <w:rPr>
                <w:rFonts w:cs="Times"/>
                <w:lang w:val="en-US"/>
              </w:rPr>
              <w:t>everity of</w:t>
            </w:r>
            <w:r>
              <w:rPr>
                <w:rFonts w:cs="Times"/>
                <w:lang w:val="en-US"/>
              </w:rPr>
              <w:t xml:space="preserve"> ССG</w:t>
            </w:r>
          </w:p>
        </w:tc>
        <w:tc>
          <w:tcPr>
            <w:tcW w:w="3544" w:type="dxa"/>
            <w:gridSpan w:val="2"/>
          </w:tcPr>
          <w:p w:rsidR="009A013D" w:rsidRDefault="009A013D" w:rsidP="00FB6D0B">
            <w:pPr>
              <w:widowControl w:val="0"/>
              <w:autoSpaceDE w:val="0"/>
              <w:autoSpaceDN w:val="0"/>
              <w:adjustRightInd w:val="0"/>
              <w:spacing w:after="240"/>
              <w:jc w:val="center"/>
              <w:rPr>
                <w:rFonts w:cs="Times"/>
                <w:lang w:val="en-US"/>
              </w:rPr>
            </w:pPr>
            <w:r>
              <w:rPr>
                <w:rFonts w:cs="Times"/>
                <w:lang w:val="en-US"/>
              </w:rPr>
              <w:t xml:space="preserve">Main group                               </w:t>
            </w:r>
          </w:p>
          <w:p w:rsidR="009A013D" w:rsidRPr="00AB2D73" w:rsidRDefault="009A013D" w:rsidP="00FB6D0B">
            <w:pPr>
              <w:widowControl w:val="0"/>
              <w:autoSpaceDE w:val="0"/>
              <w:autoSpaceDN w:val="0"/>
              <w:adjustRightInd w:val="0"/>
              <w:spacing w:after="240"/>
              <w:jc w:val="center"/>
              <w:rPr>
                <w:rFonts w:cs="Times"/>
                <w:lang w:val="en-US"/>
              </w:rPr>
            </w:pPr>
            <w:r>
              <w:rPr>
                <w:rFonts w:cs="Times"/>
                <w:lang w:val="en-US"/>
              </w:rPr>
              <w:t>(</w:t>
            </w:r>
            <w:proofErr w:type="gramStart"/>
            <w:r>
              <w:rPr>
                <w:rFonts w:cs="Times"/>
                <w:lang w:val="en-US"/>
              </w:rPr>
              <w:t>n</w:t>
            </w:r>
            <w:proofErr w:type="gramEnd"/>
            <w:r>
              <w:rPr>
                <w:rFonts w:cs="Times"/>
                <w:lang w:val="en-US"/>
              </w:rPr>
              <w:t xml:space="preserve"> = 103</w:t>
            </w:r>
            <w:r w:rsidRPr="00AB2D73">
              <w:rPr>
                <w:rFonts w:cs="Times"/>
                <w:lang w:val="en-US"/>
              </w:rPr>
              <w:t>)</w:t>
            </w:r>
          </w:p>
        </w:tc>
        <w:tc>
          <w:tcPr>
            <w:tcW w:w="3118" w:type="dxa"/>
            <w:gridSpan w:val="2"/>
          </w:tcPr>
          <w:p w:rsidR="009A013D" w:rsidRDefault="009A013D" w:rsidP="00FB6D0B">
            <w:pPr>
              <w:widowControl w:val="0"/>
              <w:autoSpaceDE w:val="0"/>
              <w:autoSpaceDN w:val="0"/>
              <w:adjustRightInd w:val="0"/>
              <w:spacing w:after="240"/>
              <w:jc w:val="center"/>
              <w:rPr>
                <w:rFonts w:cs="Times"/>
                <w:lang w:val="en-US"/>
              </w:rPr>
            </w:pPr>
            <w:r>
              <w:rPr>
                <w:rFonts w:cs="Times"/>
                <w:lang w:val="en-US"/>
              </w:rPr>
              <w:t xml:space="preserve">Comparative group               </w:t>
            </w:r>
          </w:p>
          <w:p w:rsidR="009A013D" w:rsidRPr="00AB2D73" w:rsidRDefault="009A013D" w:rsidP="00FB6D0B">
            <w:pPr>
              <w:widowControl w:val="0"/>
              <w:autoSpaceDE w:val="0"/>
              <w:autoSpaceDN w:val="0"/>
              <w:adjustRightInd w:val="0"/>
              <w:spacing w:after="240"/>
              <w:jc w:val="center"/>
              <w:rPr>
                <w:rFonts w:cs="Times"/>
                <w:lang w:val="en-US"/>
              </w:rPr>
            </w:pPr>
            <w:r>
              <w:rPr>
                <w:rFonts w:cs="Times"/>
                <w:lang w:val="en-US"/>
              </w:rPr>
              <w:t>(</w:t>
            </w:r>
            <w:proofErr w:type="gramStart"/>
            <w:r>
              <w:rPr>
                <w:rFonts w:cs="Times"/>
                <w:lang w:val="en-US"/>
              </w:rPr>
              <w:t>n</w:t>
            </w:r>
            <w:proofErr w:type="gramEnd"/>
            <w:r>
              <w:rPr>
                <w:rFonts w:cs="Times"/>
                <w:lang w:val="en-US"/>
              </w:rPr>
              <w:t xml:space="preserve"> = 87</w:t>
            </w:r>
            <w:r w:rsidRPr="00AB2D73">
              <w:rPr>
                <w:rFonts w:cs="Times"/>
                <w:lang w:val="en-US"/>
              </w:rPr>
              <w:t>)</w:t>
            </w:r>
          </w:p>
        </w:tc>
      </w:tr>
      <w:tr w:rsidR="009A013D" w:rsidTr="009A013D">
        <w:tc>
          <w:tcPr>
            <w:tcW w:w="1134" w:type="dxa"/>
            <w:vMerge/>
          </w:tcPr>
          <w:p w:rsidR="009A013D" w:rsidRDefault="009A013D" w:rsidP="00FB6D0B">
            <w:pPr>
              <w:widowControl w:val="0"/>
              <w:autoSpaceDE w:val="0"/>
              <w:autoSpaceDN w:val="0"/>
              <w:adjustRightInd w:val="0"/>
              <w:spacing w:after="240"/>
              <w:jc w:val="center"/>
              <w:rPr>
                <w:rFonts w:cs="Times"/>
                <w:lang w:val="en-US"/>
              </w:rPr>
            </w:pPr>
          </w:p>
        </w:tc>
        <w:tc>
          <w:tcPr>
            <w:tcW w:w="1735" w:type="dxa"/>
          </w:tcPr>
          <w:p w:rsidR="009A013D" w:rsidRPr="009A013D" w:rsidRDefault="009A013D" w:rsidP="009A013D">
            <w:pPr>
              <w:spacing w:line="360" w:lineRule="auto"/>
              <w:jc w:val="center"/>
              <w:rPr>
                <w:rFonts w:cs="Times New Roman"/>
                <w:lang w:val="en-US"/>
              </w:rPr>
            </w:pPr>
            <w:r w:rsidRPr="009A013D">
              <w:rPr>
                <w:rFonts w:cs="Times New Roman"/>
              </w:rPr>
              <w:t>12-14  </w:t>
            </w:r>
            <w:r w:rsidRPr="009A013D">
              <w:rPr>
                <w:rFonts w:cs="Times New Roman"/>
                <w:lang w:val="en-US"/>
              </w:rPr>
              <w:t>years</w:t>
            </w:r>
          </w:p>
        </w:tc>
        <w:tc>
          <w:tcPr>
            <w:tcW w:w="1809" w:type="dxa"/>
          </w:tcPr>
          <w:p w:rsidR="009A013D" w:rsidRPr="009A013D" w:rsidRDefault="009A013D" w:rsidP="009A013D">
            <w:pPr>
              <w:spacing w:line="360" w:lineRule="auto"/>
              <w:jc w:val="center"/>
              <w:rPr>
                <w:rFonts w:cs="Times New Roman"/>
              </w:rPr>
            </w:pPr>
            <w:r w:rsidRPr="009A013D">
              <w:rPr>
                <w:rFonts w:cs="Times New Roman"/>
              </w:rPr>
              <w:t xml:space="preserve">15-17 </w:t>
            </w:r>
            <w:proofErr w:type="spellStart"/>
            <w:r w:rsidRPr="009A013D">
              <w:rPr>
                <w:rFonts w:cs="Times New Roman"/>
              </w:rPr>
              <w:t>years</w:t>
            </w:r>
            <w:proofErr w:type="spellEnd"/>
          </w:p>
        </w:tc>
        <w:tc>
          <w:tcPr>
            <w:tcW w:w="1452" w:type="dxa"/>
          </w:tcPr>
          <w:p w:rsidR="009A013D" w:rsidRPr="009A013D" w:rsidRDefault="009A013D" w:rsidP="009A013D">
            <w:pPr>
              <w:spacing w:line="360" w:lineRule="auto"/>
              <w:jc w:val="center"/>
              <w:rPr>
                <w:rFonts w:cs="Times New Roman"/>
              </w:rPr>
            </w:pPr>
            <w:r w:rsidRPr="009A013D">
              <w:rPr>
                <w:rFonts w:cs="Times New Roman"/>
              </w:rPr>
              <w:t xml:space="preserve">12-14 </w:t>
            </w:r>
            <w:proofErr w:type="spellStart"/>
            <w:r w:rsidRPr="009A013D">
              <w:rPr>
                <w:rFonts w:cs="Times New Roman"/>
              </w:rPr>
              <w:t>years</w:t>
            </w:r>
            <w:proofErr w:type="spellEnd"/>
          </w:p>
        </w:tc>
        <w:tc>
          <w:tcPr>
            <w:tcW w:w="1666" w:type="dxa"/>
          </w:tcPr>
          <w:p w:rsidR="009A013D" w:rsidRPr="009A013D" w:rsidRDefault="009A013D" w:rsidP="009A013D">
            <w:pPr>
              <w:spacing w:line="360" w:lineRule="auto"/>
              <w:jc w:val="center"/>
              <w:rPr>
                <w:rFonts w:cs="Times New Roman"/>
              </w:rPr>
            </w:pPr>
            <w:r w:rsidRPr="009A013D">
              <w:rPr>
                <w:rFonts w:cs="Times New Roman"/>
              </w:rPr>
              <w:t xml:space="preserve">15-17 </w:t>
            </w:r>
            <w:proofErr w:type="spellStart"/>
            <w:r w:rsidRPr="009A013D">
              <w:rPr>
                <w:rFonts w:cs="Times New Roman"/>
              </w:rPr>
              <w:t>years</w:t>
            </w:r>
            <w:proofErr w:type="spellEnd"/>
          </w:p>
        </w:tc>
      </w:tr>
      <w:tr w:rsidR="009A013D" w:rsidTr="009A013D">
        <w:tc>
          <w:tcPr>
            <w:tcW w:w="1134" w:type="dxa"/>
          </w:tcPr>
          <w:p w:rsidR="009A013D" w:rsidRDefault="009A013D" w:rsidP="009A013D">
            <w:pPr>
              <w:widowControl w:val="0"/>
              <w:autoSpaceDE w:val="0"/>
              <w:autoSpaceDN w:val="0"/>
              <w:adjustRightInd w:val="0"/>
              <w:spacing w:after="240"/>
              <w:jc w:val="center"/>
              <w:rPr>
                <w:rFonts w:cs="Times"/>
                <w:lang w:val="en-US"/>
              </w:rPr>
            </w:pPr>
            <w:r>
              <w:rPr>
                <w:rFonts w:cs="Times"/>
                <w:lang w:val="en-US"/>
              </w:rPr>
              <w:t>Mild</w:t>
            </w:r>
          </w:p>
        </w:tc>
        <w:tc>
          <w:tcPr>
            <w:tcW w:w="1735" w:type="dxa"/>
          </w:tcPr>
          <w:p w:rsidR="009A013D" w:rsidRPr="009A013D" w:rsidRDefault="009A013D" w:rsidP="009A013D">
            <w:pPr>
              <w:spacing w:line="360" w:lineRule="auto"/>
              <w:jc w:val="center"/>
              <w:rPr>
                <w:rFonts w:cs="Times New Roman"/>
              </w:rPr>
            </w:pPr>
            <w:r w:rsidRPr="009A013D">
              <w:rPr>
                <w:rFonts w:cs="Times New Roman"/>
              </w:rPr>
              <w:t>1,27±0,014   р</w:t>
            </w:r>
          </w:p>
        </w:tc>
        <w:tc>
          <w:tcPr>
            <w:tcW w:w="1809" w:type="dxa"/>
          </w:tcPr>
          <w:p w:rsidR="009A013D" w:rsidRPr="009A013D" w:rsidRDefault="009A013D" w:rsidP="009A013D">
            <w:pPr>
              <w:spacing w:line="360" w:lineRule="auto"/>
              <w:jc w:val="center"/>
              <w:rPr>
                <w:rFonts w:cs="Times New Roman"/>
              </w:rPr>
            </w:pPr>
            <w:r w:rsidRPr="009A013D">
              <w:rPr>
                <w:rFonts w:cs="Times New Roman"/>
              </w:rPr>
              <w:t>1,68±0,012   р</w:t>
            </w:r>
          </w:p>
        </w:tc>
        <w:tc>
          <w:tcPr>
            <w:tcW w:w="1452" w:type="dxa"/>
          </w:tcPr>
          <w:p w:rsidR="009A013D" w:rsidRPr="009A013D" w:rsidRDefault="009A013D" w:rsidP="009A013D">
            <w:pPr>
              <w:spacing w:line="360" w:lineRule="auto"/>
              <w:jc w:val="center"/>
              <w:rPr>
                <w:rFonts w:cs="Times New Roman"/>
              </w:rPr>
            </w:pPr>
            <w:r w:rsidRPr="009A013D">
              <w:rPr>
                <w:rFonts w:cs="Times New Roman"/>
              </w:rPr>
              <w:t>0,61±0,014</w:t>
            </w:r>
          </w:p>
        </w:tc>
        <w:tc>
          <w:tcPr>
            <w:tcW w:w="1666" w:type="dxa"/>
          </w:tcPr>
          <w:p w:rsidR="009A013D" w:rsidRPr="009A013D" w:rsidRDefault="009A013D" w:rsidP="009A013D">
            <w:pPr>
              <w:spacing w:line="360" w:lineRule="auto"/>
              <w:jc w:val="center"/>
              <w:rPr>
                <w:rFonts w:cs="Times New Roman"/>
              </w:rPr>
            </w:pPr>
            <w:r w:rsidRPr="009A013D">
              <w:rPr>
                <w:rFonts w:cs="Times New Roman"/>
              </w:rPr>
              <w:t>1,08±0,015</w:t>
            </w:r>
          </w:p>
        </w:tc>
      </w:tr>
      <w:tr w:rsidR="009A013D" w:rsidTr="009A013D">
        <w:tc>
          <w:tcPr>
            <w:tcW w:w="1134" w:type="dxa"/>
          </w:tcPr>
          <w:p w:rsidR="009A013D" w:rsidRDefault="009A013D" w:rsidP="009A013D">
            <w:pPr>
              <w:widowControl w:val="0"/>
              <w:autoSpaceDE w:val="0"/>
              <w:autoSpaceDN w:val="0"/>
              <w:adjustRightInd w:val="0"/>
              <w:spacing w:after="240"/>
              <w:jc w:val="center"/>
              <w:rPr>
                <w:rFonts w:cs="Times"/>
                <w:lang w:val="en-US"/>
              </w:rPr>
            </w:pPr>
            <w:r>
              <w:rPr>
                <w:rFonts w:cs="Times"/>
                <w:lang w:val="en-US"/>
              </w:rPr>
              <w:t>Medium</w:t>
            </w:r>
          </w:p>
        </w:tc>
        <w:tc>
          <w:tcPr>
            <w:tcW w:w="1735" w:type="dxa"/>
          </w:tcPr>
          <w:p w:rsidR="009A013D" w:rsidRPr="009A013D" w:rsidRDefault="009A013D" w:rsidP="009A013D">
            <w:pPr>
              <w:spacing w:line="360" w:lineRule="auto"/>
              <w:jc w:val="center"/>
              <w:rPr>
                <w:rFonts w:cs="Times New Roman"/>
              </w:rPr>
            </w:pPr>
            <w:r w:rsidRPr="009A013D">
              <w:rPr>
                <w:rFonts w:cs="Times New Roman"/>
              </w:rPr>
              <w:t>1,82±0,013   р</w:t>
            </w:r>
          </w:p>
        </w:tc>
        <w:tc>
          <w:tcPr>
            <w:tcW w:w="1809" w:type="dxa"/>
          </w:tcPr>
          <w:p w:rsidR="009A013D" w:rsidRPr="009A013D" w:rsidRDefault="009A013D" w:rsidP="009A013D">
            <w:pPr>
              <w:spacing w:line="360" w:lineRule="auto"/>
              <w:jc w:val="center"/>
              <w:rPr>
                <w:rFonts w:cs="Times New Roman"/>
              </w:rPr>
            </w:pPr>
            <w:r w:rsidRPr="009A013D">
              <w:rPr>
                <w:rFonts w:cs="Times New Roman"/>
              </w:rPr>
              <w:t>2,09±0,013   р</w:t>
            </w:r>
          </w:p>
        </w:tc>
        <w:tc>
          <w:tcPr>
            <w:tcW w:w="1452" w:type="dxa"/>
          </w:tcPr>
          <w:p w:rsidR="009A013D" w:rsidRPr="009A013D" w:rsidRDefault="009A013D" w:rsidP="009A013D">
            <w:pPr>
              <w:spacing w:line="360" w:lineRule="auto"/>
              <w:jc w:val="center"/>
              <w:rPr>
                <w:rFonts w:cs="Times New Roman"/>
              </w:rPr>
            </w:pPr>
            <w:r w:rsidRPr="009A013D">
              <w:rPr>
                <w:rFonts w:cs="Times New Roman"/>
              </w:rPr>
              <w:t>1,43±0,014</w:t>
            </w:r>
          </w:p>
        </w:tc>
        <w:tc>
          <w:tcPr>
            <w:tcW w:w="1666" w:type="dxa"/>
          </w:tcPr>
          <w:p w:rsidR="009A013D" w:rsidRPr="009A013D" w:rsidRDefault="009A013D" w:rsidP="009A013D">
            <w:pPr>
              <w:spacing w:line="360" w:lineRule="auto"/>
              <w:jc w:val="center"/>
              <w:rPr>
                <w:rFonts w:cs="Times New Roman"/>
              </w:rPr>
            </w:pPr>
            <w:r w:rsidRPr="009A013D">
              <w:rPr>
                <w:rFonts w:cs="Times New Roman"/>
              </w:rPr>
              <w:t>1,82±0,015</w:t>
            </w:r>
          </w:p>
        </w:tc>
      </w:tr>
      <w:tr w:rsidR="009A013D" w:rsidTr="009A013D">
        <w:tc>
          <w:tcPr>
            <w:tcW w:w="1134" w:type="dxa"/>
          </w:tcPr>
          <w:p w:rsidR="009A013D" w:rsidRDefault="009A013D" w:rsidP="009A013D">
            <w:pPr>
              <w:widowControl w:val="0"/>
              <w:autoSpaceDE w:val="0"/>
              <w:autoSpaceDN w:val="0"/>
              <w:adjustRightInd w:val="0"/>
              <w:spacing w:after="240"/>
              <w:jc w:val="center"/>
              <w:rPr>
                <w:rFonts w:cs="Times"/>
                <w:lang w:val="en-US"/>
              </w:rPr>
            </w:pPr>
            <w:r>
              <w:rPr>
                <w:rFonts w:cs="Times"/>
                <w:lang w:val="en-US"/>
              </w:rPr>
              <w:t>Heavy</w:t>
            </w:r>
          </w:p>
        </w:tc>
        <w:tc>
          <w:tcPr>
            <w:tcW w:w="1735" w:type="dxa"/>
          </w:tcPr>
          <w:p w:rsidR="009A013D" w:rsidRPr="009A013D" w:rsidRDefault="009A013D" w:rsidP="009A013D">
            <w:pPr>
              <w:spacing w:line="360" w:lineRule="auto"/>
              <w:jc w:val="center"/>
              <w:rPr>
                <w:rFonts w:cs="Times New Roman"/>
              </w:rPr>
            </w:pPr>
            <w:r w:rsidRPr="009A013D">
              <w:rPr>
                <w:rFonts w:cs="Times New Roman"/>
              </w:rPr>
              <w:t>2,47±0,014   р</w:t>
            </w:r>
          </w:p>
        </w:tc>
        <w:tc>
          <w:tcPr>
            <w:tcW w:w="1809" w:type="dxa"/>
          </w:tcPr>
          <w:p w:rsidR="009A013D" w:rsidRPr="009A013D" w:rsidRDefault="009A013D" w:rsidP="009A013D">
            <w:pPr>
              <w:spacing w:line="360" w:lineRule="auto"/>
              <w:jc w:val="center"/>
              <w:rPr>
                <w:rFonts w:cs="Times New Roman"/>
              </w:rPr>
            </w:pPr>
            <w:r w:rsidRPr="009A013D">
              <w:rPr>
                <w:rFonts w:cs="Times New Roman"/>
              </w:rPr>
              <w:t>2,94±0,014   р</w:t>
            </w:r>
          </w:p>
        </w:tc>
        <w:tc>
          <w:tcPr>
            <w:tcW w:w="1452" w:type="dxa"/>
          </w:tcPr>
          <w:p w:rsidR="009A013D" w:rsidRPr="009A013D" w:rsidRDefault="009A013D" w:rsidP="009A013D">
            <w:pPr>
              <w:spacing w:line="360" w:lineRule="auto"/>
              <w:jc w:val="center"/>
              <w:rPr>
                <w:rFonts w:cs="Times New Roman"/>
              </w:rPr>
            </w:pPr>
            <w:r w:rsidRPr="009A013D">
              <w:rPr>
                <w:rFonts w:cs="Times New Roman"/>
              </w:rPr>
              <w:t>-</w:t>
            </w:r>
          </w:p>
        </w:tc>
        <w:tc>
          <w:tcPr>
            <w:tcW w:w="1666" w:type="dxa"/>
          </w:tcPr>
          <w:p w:rsidR="009A013D" w:rsidRPr="009A013D" w:rsidRDefault="009A013D" w:rsidP="009A013D">
            <w:pPr>
              <w:spacing w:line="360" w:lineRule="auto"/>
              <w:jc w:val="center"/>
              <w:rPr>
                <w:rFonts w:cs="Times New Roman"/>
              </w:rPr>
            </w:pPr>
            <w:r w:rsidRPr="009A013D">
              <w:rPr>
                <w:rFonts w:cs="Times New Roman"/>
              </w:rPr>
              <w:t>2,26±0,015</w:t>
            </w:r>
          </w:p>
        </w:tc>
      </w:tr>
      <w:tr w:rsidR="009A013D" w:rsidTr="009A013D">
        <w:tc>
          <w:tcPr>
            <w:tcW w:w="1134" w:type="dxa"/>
          </w:tcPr>
          <w:p w:rsidR="009A013D" w:rsidRDefault="009A013D" w:rsidP="009A013D">
            <w:pPr>
              <w:widowControl w:val="0"/>
              <w:autoSpaceDE w:val="0"/>
              <w:autoSpaceDN w:val="0"/>
              <w:adjustRightInd w:val="0"/>
              <w:spacing w:after="240"/>
              <w:jc w:val="center"/>
              <w:rPr>
                <w:rFonts w:cs="Times"/>
                <w:lang w:val="en-US"/>
              </w:rPr>
            </w:pPr>
            <w:proofErr w:type="gramStart"/>
            <w:r w:rsidRPr="00AB2D73">
              <w:rPr>
                <w:rFonts w:cs="Times"/>
                <w:lang w:val="en-US"/>
              </w:rPr>
              <w:t>average</w:t>
            </w:r>
            <w:proofErr w:type="gramEnd"/>
            <w:r w:rsidRPr="00AB2D73">
              <w:rPr>
                <w:rFonts w:cs="Times"/>
                <w:lang w:val="en-US"/>
              </w:rPr>
              <w:t xml:space="preserve"> value</w:t>
            </w:r>
          </w:p>
        </w:tc>
        <w:tc>
          <w:tcPr>
            <w:tcW w:w="1735" w:type="dxa"/>
          </w:tcPr>
          <w:p w:rsidR="009A013D" w:rsidRPr="009A013D" w:rsidRDefault="009A013D" w:rsidP="009A013D">
            <w:pPr>
              <w:spacing w:line="360" w:lineRule="auto"/>
              <w:jc w:val="center"/>
              <w:rPr>
                <w:rFonts w:cs="Times New Roman"/>
              </w:rPr>
            </w:pPr>
            <w:r w:rsidRPr="009A013D">
              <w:rPr>
                <w:rFonts w:cs="Times New Roman"/>
              </w:rPr>
              <w:t>1,85±0,13    р</w:t>
            </w:r>
          </w:p>
        </w:tc>
        <w:tc>
          <w:tcPr>
            <w:tcW w:w="1809" w:type="dxa"/>
          </w:tcPr>
          <w:p w:rsidR="009A013D" w:rsidRPr="009A013D" w:rsidRDefault="009A013D" w:rsidP="009A013D">
            <w:pPr>
              <w:spacing w:line="360" w:lineRule="auto"/>
              <w:jc w:val="center"/>
              <w:rPr>
                <w:rFonts w:cs="Times New Roman"/>
              </w:rPr>
            </w:pPr>
            <w:r w:rsidRPr="009A013D">
              <w:rPr>
                <w:rFonts w:cs="Times New Roman"/>
              </w:rPr>
              <w:t>2,24±0,013   р</w:t>
            </w:r>
          </w:p>
        </w:tc>
        <w:tc>
          <w:tcPr>
            <w:tcW w:w="1452" w:type="dxa"/>
          </w:tcPr>
          <w:p w:rsidR="009A013D" w:rsidRPr="009A013D" w:rsidRDefault="009A013D" w:rsidP="009A013D">
            <w:pPr>
              <w:spacing w:line="360" w:lineRule="auto"/>
              <w:jc w:val="center"/>
              <w:rPr>
                <w:rFonts w:cs="Times New Roman"/>
              </w:rPr>
            </w:pPr>
            <w:r w:rsidRPr="009A013D">
              <w:rPr>
                <w:rFonts w:cs="Times New Roman"/>
              </w:rPr>
              <w:t>1,02±0,014</w:t>
            </w:r>
          </w:p>
        </w:tc>
        <w:tc>
          <w:tcPr>
            <w:tcW w:w="1666" w:type="dxa"/>
          </w:tcPr>
          <w:p w:rsidR="009A013D" w:rsidRPr="009A013D" w:rsidRDefault="009A013D" w:rsidP="009A013D">
            <w:pPr>
              <w:spacing w:line="360" w:lineRule="auto"/>
              <w:jc w:val="center"/>
              <w:rPr>
                <w:rFonts w:cs="Times New Roman"/>
              </w:rPr>
            </w:pPr>
            <w:r w:rsidRPr="009A013D">
              <w:rPr>
                <w:rFonts w:cs="Times New Roman"/>
              </w:rPr>
              <w:t>1,72±0,015</w:t>
            </w:r>
          </w:p>
        </w:tc>
      </w:tr>
    </w:tbl>
    <w:p w:rsidR="00FB6D0B" w:rsidRDefault="00FB6D0B" w:rsidP="00FB6D0B">
      <w:pPr>
        <w:widowControl w:val="0"/>
        <w:autoSpaceDE w:val="0"/>
        <w:autoSpaceDN w:val="0"/>
        <w:adjustRightInd w:val="0"/>
        <w:spacing w:after="240"/>
        <w:jc w:val="both"/>
        <w:rPr>
          <w:rFonts w:cs="Times"/>
          <w:lang w:val="en-US"/>
        </w:rPr>
      </w:pPr>
    </w:p>
    <w:p w:rsidR="009A013D" w:rsidRDefault="009A013D" w:rsidP="00FB6D0B">
      <w:pPr>
        <w:widowControl w:val="0"/>
        <w:autoSpaceDE w:val="0"/>
        <w:autoSpaceDN w:val="0"/>
        <w:adjustRightInd w:val="0"/>
        <w:spacing w:after="240"/>
        <w:jc w:val="both"/>
        <w:rPr>
          <w:rFonts w:cs="Times"/>
          <w:lang w:val="en-US"/>
        </w:rPr>
      </w:pPr>
      <w:r w:rsidRPr="009A013D">
        <w:rPr>
          <w:rFonts w:cs="Times"/>
          <w:lang w:val="en-US"/>
        </w:rPr>
        <w:t xml:space="preserve">According to Fig. 2, established </w:t>
      </w:r>
      <w:r>
        <w:rPr>
          <w:rFonts w:cs="Times"/>
          <w:lang w:val="en-US"/>
        </w:rPr>
        <w:t xml:space="preserve">that children and </w:t>
      </w:r>
      <w:proofErr w:type="gramStart"/>
      <w:r>
        <w:rPr>
          <w:rFonts w:cs="Times"/>
          <w:lang w:val="en-US"/>
        </w:rPr>
        <w:t>adolescents  of</w:t>
      </w:r>
      <w:proofErr w:type="gramEnd"/>
      <w:r>
        <w:rPr>
          <w:rFonts w:cs="Times"/>
          <w:lang w:val="en-US"/>
        </w:rPr>
        <w:t xml:space="preserve"> the main group with mild CCG bleeding index</w:t>
      </w:r>
      <w:r w:rsidRPr="009A013D">
        <w:rPr>
          <w:rFonts w:cs="Times"/>
          <w:lang w:val="en-US"/>
        </w:rPr>
        <w:t xml:space="preserve"> was 1.</w:t>
      </w:r>
      <w:r>
        <w:rPr>
          <w:rFonts w:cs="Times"/>
          <w:lang w:val="en-US"/>
        </w:rPr>
        <w:t xml:space="preserve">8 times higher comparative </w:t>
      </w:r>
      <w:r w:rsidRPr="009A013D">
        <w:rPr>
          <w:rFonts w:cs="Times"/>
          <w:lang w:val="en-US"/>
        </w:rPr>
        <w:t>group ((1.53) points against (0.85)</w:t>
      </w:r>
      <w:r>
        <w:rPr>
          <w:rFonts w:cs="Times"/>
          <w:lang w:val="en-US"/>
        </w:rPr>
        <w:t>) points; at medium severity CCG</w:t>
      </w:r>
      <w:r w:rsidRPr="009A013D">
        <w:rPr>
          <w:rFonts w:cs="Times"/>
          <w:lang w:val="en-US"/>
        </w:rPr>
        <w:t xml:space="preserve"> - 1.2 times higher than the corresponding val</w:t>
      </w:r>
      <w:r>
        <w:rPr>
          <w:rFonts w:cs="Times"/>
          <w:lang w:val="en-US"/>
        </w:rPr>
        <w:t>ues of the comparative</w:t>
      </w:r>
      <w:r w:rsidRPr="009A013D">
        <w:rPr>
          <w:rFonts w:cs="Times"/>
          <w:lang w:val="en-US"/>
        </w:rPr>
        <w:t xml:space="preserve"> group ((1.98) points against (1.63) </w:t>
      </w:r>
      <w:r>
        <w:rPr>
          <w:rFonts w:cs="Times"/>
          <w:lang w:val="en-US"/>
        </w:rPr>
        <w:t>points) and in heavy degree CCG</w:t>
      </w:r>
      <w:r w:rsidRPr="009A013D">
        <w:rPr>
          <w:rFonts w:cs="Times"/>
          <w:lang w:val="en-US"/>
        </w:rPr>
        <w:t xml:space="preserve"> - 1.2 times ((2.69) points against (2.26) points) respectively.</w:t>
      </w:r>
    </w:p>
    <w:p w:rsidR="009A013D" w:rsidRDefault="009A013D" w:rsidP="009A013D">
      <w:pPr>
        <w:widowControl w:val="0"/>
        <w:autoSpaceDE w:val="0"/>
        <w:autoSpaceDN w:val="0"/>
        <w:adjustRightInd w:val="0"/>
        <w:spacing w:after="240"/>
        <w:jc w:val="right"/>
        <w:rPr>
          <w:rFonts w:cs="Times"/>
          <w:lang w:val="en-US"/>
        </w:rPr>
      </w:pPr>
      <w:r>
        <w:rPr>
          <w:rFonts w:cs="Times"/>
          <w:lang w:val="en-US"/>
        </w:rPr>
        <w:t>Figure 2</w:t>
      </w:r>
    </w:p>
    <w:p w:rsidR="00253CE5" w:rsidRDefault="00253CE5" w:rsidP="001C1276">
      <w:pPr>
        <w:widowControl w:val="0"/>
        <w:autoSpaceDE w:val="0"/>
        <w:autoSpaceDN w:val="0"/>
        <w:adjustRightInd w:val="0"/>
        <w:spacing w:after="240"/>
        <w:jc w:val="center"/>
        <w:rPr>
          <w:rFonts w:cs="Times"/>
          <w:lang w:val="en-US"/>
        </w:rPr>
      </w:pPr>
      <w:r>
        <w:rPr>
          <w:rFonts w:cs="Times"/>
          <w:lang w:val="en-US"/>
        </w:rPr>
        <w:t xml:space="preserve">Average value of </w:t>
      </w:r>
      <w:r w:rsidRPr="00253CE5">
        <w:rPr>
          <w:rFonts w:cs="Times"/>
          <w:lang w:val="en-US"/>
        </w:rPr>
        <w:t xml:space="preserve">bleeding </w:t>
      </w:r>
      <w:r w:rsidR="001C1276">
        <w:rPr>
          <w:rFonts w:cs="Times"/>
          <w:lang w:val="en-US"/>
        </w:rPr>
        <w:t>i</w:t>
      </w:r>
      <w:r w:rsidR="001C1276" w:rsidRPr="00253CE5">
        <w:rPr>
          <w:rFonts w:cs="Times"/>
          <w:lang w:val="en-US"/>
        </w:rPr>
        <w:t xml:space="preserve">ndex </w:t>
      </w:r>
      <w:r w:rsidRPr="00253CE5">
        <w:rPr>
          <w:rFonts w:cs="Times"/>
          <w:lang w:val="en-US"/>
        </w:rPr>
        <w:t xml:space="preserve">depending on the severity </w:t>
      </w:r>
      <w:r w:rsidR="001C1276">
        <w:rPr>
          <w:rFonts w:cs="Times"/>
          <w:lang w:val="en-US"/>
        </w:rPr>
        <w:t>of CCG</w:t>
      </w:r>
    </w:p>
    <w:p w:rsidR="009A013D" w:rsidRPr="00FB6D0B" w:rsidRDefault="007C078F" w:rsidP="007C078F">
      <w:pPr>
        <w:widowControl w:val="0"/>
        <w:autoSpaceDE w:val="0"/>
        <w:autoSpaceDN w:val="0"/>
        <w:adjustRightInd w:val="0"/>
        <w:spacing w:after="240"/>
        <w:jc w:val="center"/>
        <w:rPr>
          <w:rFonts w:cs="Times"/>
          <w:lang w:val="en-US"/>
        </w:rPr>
      </w:pPr>
      <w:r>
        <w:rPr>
          <w:noProof/>
          <w:lang w:val="en-US"/>
        </w:rPr>
        <w:drawing>
          <wp:inline distT="0" distB="0" distL="0" distR="0" wp14:anchorId="53F8F532" wp14:editId="46AF99F6">
            <wp:extent cx="4572000" cy="2743200"/>
            <wp:effectExtent l="0" t="0" r="25400" b="254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435E9" w:rsidRPr="001C1276" w:rsidRDefault="007950CA" w:rsidP="001C1276">
      <w:pPr>
        <w:widowControl w:val="0"/>
        <w:autoSpaceDE w:val="0"/>
        <w:autoSpaceDN w:val="0"/>
        <w:adjustRightInd w:val="0"/>
        <w:spacing w:after="240"/>
        <w:rPr>
          <w:rFonts w:cs="Times"/>
          <w:lang w:val="en-US"/>
        </w:rPr>
      </w:pPr>
      <w:r w:rsidRPr="00C830BA">
        <w:rPr>
          <w:rFonts w:cs="Times"/>
          <w:b/>
          <w:bCs/>
          <w:lang w:val="en-US"/>
        </w:rPr>
        <w:t xml:space="preserve">Conclusions. </w:t>
      </w:r>
      <w:r w:rsidRPr="00C830BA">
        <w:rPr>
          <w:rFonts w:cs="Times"/>
          <w:lang w:val="en-US"/>
        </w:rPr>
        <w:t>Children with cerebral palsy demonstrated the intensity of inflammation in the periodontal tissues after the PMA index was in 1.6 times higher relatively to the obtained data in somatically healthy children with CCG</w:t>
      </w:r>
      <w:r w:rsidR="00C830BA" w:rsidRPr="00C830BA">
        <w:rPr>
          <w:rFonts w:cs="Times"/>
          <w:lang w:val="en-US"/>
        </w:rPr>
        <w:t>. With the age, the value of these indices increased in both groups of comparison, however for children and adolescents with chronic gastritis, this process was more pronounced, which probably can be caused by the presence of somatic disease in this group of patients.</w:t>
      </w:r>
    </w:p>
    <w:p w:rsidR="00C830BA" w:rsidRDefault="00C830BA" w:rsidP="00C830BA">
      <w:pPr>
        <w:widowControl w:val="0"/>
        <w:autoSpaceDE w:val="0"/>
        <w:autoSpaceDN w:val="0"/>
        <w:adjustRightInd w:val="0"/>
        <w:spacing w:after="240"/>
        <w:jc w:val="center"/>
        <w:rPr>
          <w:rFonts w:cs="Times"/>
          <w:b/>
          <w:lang w:val="en-US"/>
        </w:rPr>
      </w:pPr>
      <w:r w:rsidRPr="00C830BA">
        <w:rPr>
          <w:rFonts w:cs="Times"/>
          <w:b/>
          <w:lang w:val="en-US"/>
        </w:rPr>
        <w:t>REFERENCES</w:t>
      </w:r>
    </w:p>
    <w:p w:rsidR="008435E9" w:rsidRPr="00CE6CEB" w:rsidRDefault="008435E9" w:rsidP="008435E9">
      <w:pPr>
        <w:widowControl w:val="0"/>
        <w:numPr>
          <w:ilvl w:val="0"/>
          <w:numId w:val="1"/>
        </w:numPr>
        <w:autoSpaceDE w:val="0"/>
        <w:autoSpaceDN w:val="0"/>
        <w:adjustRightInd w:val="0"/>
        <w:jc w:val="both"/>
        <w:rPr>
          <w:rFonts w:cs="Arial"/>
          <w:color w:val="262626"/>
          <w:lang w:val="en-US"/>
        </w:rPr>
      </w:pPr>
      <w:proofErr w:type="spellStart"/>
      <w:r w:rsidRPr="00CE6CEB">
        <w:rPr>
          <w:rFonts w:cs="Arial"/>
          <w:color w:val="262626"/>
          <w:lang w:val="en-US"/>
        </w:rPr>
        <w:t>Bulkina</w:t>
      </w:r>
      <w:proofErr w:type="spellEnd"/>
      <w:r w:rsidRPr="00CE6CEB">
        <w:rPr>
          <w:rFonts w:cs="Arial"/>
          <w:color w:val="262626"/>
          <w:lang w:val="en-US"/>
        </w:rPr>
        <w:t xml:space="preserve"> N.V., </w:t>
      </w:r>
      <w:proofErr w:type="spellStart"/>
      <w:r w:rsidRPr="00CE6CEB">
        <w:rPr>
          <w:rFonts w:cs="Arial"/>
          <w:color w:val="262626"/>
          <w:lang w:val="en-US"/>
        </w:rPr>
        <w:t>Kosachev</w:t>
      </w:r>
      <w:proofErr w:type="spellEnd"/>
      <w:r w:rsidRPr="00CE6CEB">
        <w:rPr>
          <w:rFonts w:cs="Arial"/>
          <w:color w:val="262626"/>
          <w:lang w:val="en-US"/>
        </w:rPr>
        <w:t xml:space="preserve"> O.N., </w:t>
      </w:r>
      <w:proofErr w:type="spellStart"/>
      <w:r w:rsidRPr="00CE6CEB">
        <w:rPr>
          <w:rFonts w:cs="Arial"/>
          <w:color w:val="262626"/>
          <w:lang w:val="en-US"/>
        </w:rPr>
        <w:t>Osadchuk</w:t>
      </w:r>
      <w:proofErr w:type="spellEnd"/>
      <w:r w:rsidRPr="00CE6CEB">
        <w:rPr>
          <w:rFonts w:cs="Arial"/>
          <w:color w:val="262626"/>
          <w:lang w:val="en-US"/>
        </w:rPr>
        <w:t xml:space="preserve"> M.A. </w:t>
      </w:r>
      <w:proofErr w:type="spellStart"/>
      <w:r w:rsidRPr="00CE6CEB">
        <w:rPr>
          <w:rFonts w:cs="Arial"/>
          <w:color w:val="262626"/>
          <w:lang w:val="en-US"/>
        </w:rPr>
        <w:t>Zabolevaniya</w:t>
      </w:r>
      <w:proofErr w:type="spellEnd"/>
      <w:r w:rsidRPr="00CE6CEB">
        <w:rPr>
          <w:rFonts w:cs="Arial"/>
          <w:color w:val="262626"/>
          <w:lang w:val="en-US"/>
        </w:rPr>
        <w:t xml:space="preserve"> </w:t>
      </w:r>
      <w:proofErr w:type="spellStart"/>
      <w:r w:rsidRPr="00CE6CEB">
        <w:rPr>
          <w:rFonts w:cs="Arial"/>
          <w:color w:val="262626"/>
          <w:lang w:val="en-US"/>
        </w:rPr>
        <w:t>parodonta</w:t>
      </w:r>
      <w:proofErr w:type="spellEnd"/>
      <w:r w:rsidRPr="00CE6CEB">
        <w:rPr>
          <w:rFonts w:cs="Arial"/>
          <w:color w:val="262626"/>
          <w:lang w:val="en-US"/>
        </w:rPr>
        <w:t xml:space="preserve"> </w:t>
      </w:r>
      <w:proofErr w:type="spellStart"/>
      <w:r w:rsidRPr="00CE6CEB">
        <w:rPr>
          <w:rFonts w:cs="Arial"/>
          <w:color w:val="262626"/>
          <w:lang w:val="en-US"/>
        </w:rPr>
        <w:t>pri</w:t>
      </w:r>
      <w:proofErr w:type="spellEnd"/>
      <w:r w:rsidRPr="00CE6CEB">
        <w:rPr>
          <w:rFonts w:cs="Arial"/>
          <w:color w:val="262626"/>
          <w:lang w:val="en-US"/>
        </w:rPr>
        <w:t xml:space="preserve"> </w:t>
      </w:r>
      <w:proofErr w:type="spellStart"/>
      <w:r w:rsidRPr="00CE6CEB">
        <w:rPr>
          <w:rFonts w:cs="Arial"/>
          <w:color w:val="262626"/>
          <w:lang w:val="en-US"/>
        </w:rPr>
        <w:t>patologii</w:t>
      </w:r>
      <w:proofErr w:type="spellEnd"/>
      <w:r w:rsidRPr="00CE6CEB">
        <w:rPr>
          <w:rFonts w:cs="Arial"/>
          <w:color w:val="262626"/>
          <w:lang w:val="en-US"/>
        </w:rPr>
        <w:t xml:space="preserve"> </w:t>
      </w:r>
      <w:proofErr w:type="spellStart"/>
      <w:r w:rsidRPr="00CE6CEB">
        <w:rPr>
          <w:rFonts w:cs="Arial"/>
          <w:color w:val="262626"/>
          <w:lang w:val="en-US"/>
        </w:rPr>
        <w:t>organov</w:t>
      </w:r>
      <w:proofErr w:type="spellEnd"/>
      <w:r w:rsidRPr="00CE6CEB">
        <w:rPr>
          <w:rFonts w:cs="Arial"/>
          <w:color w:val="262626"/>
          <w:lang w:val="en-US"/>
        </w:rPr>
        <w:t xml:space="preserve"> </w:t>
      </w:r>
      <w:proofErr w:type="spellStart"/>
      <w:r w:rsidRPr="00CE6CEB">
        <w:rPr>
          <w:rFonts w:cs="Arial"/>
          <w:color w:val="262626"/>
          <w:lang w:val="en-US"/>
        </w:rPr>
        <w:t>pischevareniya</w:t>
      </w:r>
      <w:proofErr w:type="spellEnd"/>
      <w:proofErr w:type="gramStart"/>
      <w:r w:rsidRPr="00CE6CEB">
        <w:rPr>
          <w:rFonts w:cs="Arial"/>
          <w:color w:val="262626"/>
          <w:lang w:val="en-US"/>
        </w:rPr>
        <w:t>.-</w:t>
      </w:r>
      <w:proofErr w:type="gramEnd"/>
      <w:r w:rsidRPr="00CE6CEB">
        <w:rPr>
          <w:rFonts w:cs="Arial"/>
          <w:color w:val="262626"/>
          <w:lang w:val="en-US"/>
        </w:rPr>
        <w:t xml:space="preserve"> Samara: OOO «</w:t>
      </w:r>
      <w:proofErr w:type="spellStart"/>
      <w:r w:rsidRPr="00CE6CEB">
        <w:rPr>
          <w:rFonts w:cs="Arial"/>
          <w:color w:val="262626"/>
          <w:lang w:val="en-US"/>
        </w:rPr>
        <w:t>Ofort</w:t>
      </w:r>
      <w:proofErr w:type="spellEnd"/>
      <w:r w:rsidRPr="00CE6CEB">
        <w:rPr>
          <w:rFonts w:cs="Arial"/>
          <w:color w:val="262626"/>
          <w:lang w:val="en-US"/>
        </w:rPr>
        <w:t>», 2006.- 184 s.</w:t>
      </w:r>
    </w:p>
    <w:p w:rsidR="008435E9" w:rsidRPr="00CE6CEB" w:rsidRDefault="008435E9" w:rsidP="008435E9">
      <w:pPr>
        <w:widowControl w:val="0"/>
        <w:numPr>
          <w:ilvl w:val="0"/>
          <w:numId w:val="1"/>
        </w:numPr>
        <w:autoSpaceDE w:val="0"/>
        <w:autoSpaceDN w:val="0"/>
        <w:adjustRightInd w:val="0"/>
        <w:jc w:val="both"/>
        <w:rPr>
          <w:rFonts w:cs="Arial"/>
          <w:color w:val="262626"/>
          <w:lang w:val="en-US"/>
        </w:rPr>
      </w:pPr>
      <w:proofErr w:type="spellStart"/>
      <w:r w:rsidRPr="00CE6CEB">
        <w:rPr>
          <w:rFonts w:cs="Arial"/>
          <w:color w:val="262626"/>
          <w:lang w:val="en-US"/>
        </w:rPr>
        <w:t>Grudyanov</w:t>
      </w:r>
      <w:proofErr w:type="spellEnd"/>
      <w:r w:rsidRPr="00CE6CEB">
        <w:rPr>
          <w:rFonts w:cs="Arial"/>
          <w:color w:val="262626"/>
          <w:lang w:val="en-US"/>
        </w:rPr>
        <w:t xml:space="preserve"> A.I. </w:t>
      </w:r>
      <w:proofErr w:type="spellStart"/>
      <w:r w:rsidRPr="00CE6CEB">
        <w:rPr>
          <w:rFonts w:cs="Arial"/>
          <w:color w:val="262626"/>
          <w:lang w:val="en-US"/>
        </w:rPr>
        <w:t>Metodyi</w:t>
      </w:r>
      <w:proofErr w:type="spellEnd"/>
      <w:r w:rsidRPr="00CE6CEB">
        <w:rPr>
          <w:rFonts w:cs="Arial"/>
          <w:color w:val="262626"/>
          <w:lang w:val="en-US"/>
        </w:rPr>
        <w:t xml:space="preserve"> </w:t>
      </w:r>
      <w:proofErr w:type="spellStart"/>
      <w:r w:rsidRPr="00CE6CEB">
        <w:rPr>
          <w:rFonts w:cs="Arial"/>
          <w:color w:val="262626"/>
          <w:lang w:val="en-US"/>
        </w:rPr>
        <w:t>diagnostiki</w:t>
      </w:r>
      <w:proofErr w:type="spellEnd"/>
      <w:r w:rsidRPr="00CE6CEB">
        <w:rPr>
          <w:rFonts w:cs="Arial"/>
          <w:color w:val="262626"/>
          <w:lang w:val="en-US"/>
        </w:rPr>
        <w:t xml:space="preserve"> </w:t>
      </w:r>
      <w:proofErr w:type="spellStart"/>
      <w:r w:rsidRPr="00CE6CEB">
        <w:rPr>
          <w:rFonts w:cs="Arial"/>
          <w:color w:val="262626"/>
          <w:lang w:val="en-US"/>
        </w:rPr>
        <w:t>vospa</w:t>
      </w:r>
      <w:r>
        <w:rPr>
          <w:rFonts w:cs="Arial"/>
          <w:color w:val="262626"/>
          <w:lang w:val="en-US"/>
        </w:rPr>
        <w:t>litelnyih</w:t>
      </w:r>
      <w:proofErr w:type="spellEnd"/>
      <w:r>
        <w:rPr>
          <w:rFonts w:cs="Arial"/>
          <w:color w:val="262626"/>
          <w:lang w:val="en-US"/>
        </w:rPr>
        <w:t xml:space="preserve"> </w:t>
      </w:r>
      <w:proofErr w:type="spellStart"/>
      <w:r>
        <w:rPr>
          <w:rFonts w:cs="Arial"/>
          <w:color w:val="262626"/>
          <w:lang w:val="en-US"/>
        </w:rPr>
        <w:t>zabolevaniy</w:t>
      </w:r>
      <w:proofErr w:type="spellEnd"/>
      <w:r>
        <w:rPr>
          <w:rFonts w:cs="Arial"/>
          <w:color w:val="262626"/>
          <w:lang w:val="en-US"/>
        </w:rPr>
        <w:t xml:space="preserve"> </w:t>
      </w:r>
      <w:proofErr w:type="spellStart"/>
      <w:r>
        <w:rPr>
          <w:rFonts w:cs="Arial"/>
          <w:color w:val="262626"/>
          <w:lang w:val="en-US"/>
        </w:rPr>
        <w:t>parodonta</w:t>
      </w:r>
      <w:proofErr w:type="spellEnd"/>
      <w:r w:rsidRPr="00CE6CEB">
        <w:rPr>
          <w:rFonts w:cs="Arial"/>
          <w:color w:val="262626"/>
          <w:lang w:val="en-US"/>
        </w:rPr>
        <w:t xml:space="preserve">: </w:t>
      </w:r>
      <w:proofErr w:type="spellStart"/>
      <w:r w:rsidRPr="00CE6CEB">
        <w:rPr>
          <w:rFonts w:cs="Arial"/>
          <w:color w:val="262626"/>
          <w:lang w:val="en-US"/>
        </w:rPr>
        <w:t>rukovodstvo</w:t>
      </w:r>
      <w:proofErr w:type="spellEnd"/>
      <w:r w:rsidRPr="00CE6CEB">
        <w:rPr>
          <w:rFonts w:cs="Arial"/>
          <w:color w:val="262626"/>
          <w:lang w:val="en-US"/>
        </w:rPr>
        <w:t xml:space="preserve"> </w:t>
      </w:r>
      <w:proofErr w:type="spellStart"/>
      <w:r w:rsidRPr="00CE6CEB">
        <w:rPr>
          <w:rFonts w:cs="Arial"/>
          <w:color w:val="262626"/>
          <w:lang w:val="en-US"/>
        </w:rPr>
        <w:t>dlya</w:t>
      </w:r>
      <w:proofErr w:type="spellEnd"/>
      <w:r w:rsidRPr="00CE6CEB">
        <w:rPr>
          <w:rFonts w:cs="Arial"/>
          <w:color w:val="262626"/>
          <w:lang w:val="en-US"/>
        </w:rPr>
        <w:t xml:space="preserve"> </w:t>
      </w:r>
      <w:proofErr w:type="spellStart"/>
      <w:r w:rsidRPr="00CE6CEB">
        <w:rPr>
          <w:rFonts w:cs="Arial"/>
          <w:color w:val="262626"/>
          <w:lang w:val="en-US"/>
        </w:rPr>
        <w:t>vrachey</w:t>
      </w:r>
      <w:proofErr w:type="spellEnd"/>
      <w:r w:rsidRPr="00CE6CEB">
        <w:rPr>
          <w:rFonts w:cs="Arial"/>
          <w:color w:val="262626"/>
          <w:lang w:val="en-US"/>
        </w:rPr>
        <w:t xml:space="preserve"> / A.</w:t>
      </w:r>
      <w:r w:rsidR="00024ADB">
        <w:rPr>
          <w:rFonts w:cs="Arial"/>
          <w:color w:val="262626"/>
          <w:lang w:val="en-US"/>
        </w:rPr>
        <w:t xml:space="preserve">I. </w:t>
      </w:r>
      <w:proofErr w:type="spellStart"/>
      <w:r w:rsidR="00024ADB">
        <w:rPr>
          <w:rFonts w:cs="Arial"/>
          <w:color w:val="262626"/>
          <w:lang w:val="en-US"/>
        </w:rPr>
        <w:t>Grudyanov</w:t>
      </w:r>
      <w:proofErr w:type="spellEnd"/>
      <w:r w:rsidR="00024ADB">
        <w:rPr>
          <w:rFonts w:cs="Arial"/>
          <w:color w:val="262626"/>
          <w:lang w:val="en-US"/>
        </w:rPr>
        <w:t xml:space="preserve">, O.A. </w:t>
      </w:r>
      <w:proofErr w:type="spellStart"/>
      <w:r w:rsidR="00024ADB">
        <w:rPr>
          <w:rFonts w:cs="Arial"/>
          <w:color w:val="262626"/>
          <w:lang w:val="en-US"/>
        </w:rPr>
        <w:t>Zorina</w:t>
      </w:r>
      <w:proofErr w:type="spellEnd"/>
      <w:r w:rsidR="00024ADB">
        <w:rPr>
          <w:rFonts w:cs="Arial"/>
          <w:color w:val="262626"/>
          <w:lang w:val="en-US"/>
        </w:rPr>
        <w:t>. - M.</w:t>
      </w:r>
      <w:r w:rsidRPr="00CE6CEB">
        <w:rPr>
          <w:rFonts w:cs="Arial"/>
          <w:color w:val="262626"/>
          <w:lang w:val="en-US"/>
        </w:rPr>
        <w:t xml:space="preserve">: </w:t>
      </w:r>
      <w:proofErr w:type="spellStart"/>
      <w:r w:rsidRPr="00CE6CEB">
        <w:rPr>
          <w:rFonts w:cs="Arial"/>
          <w:color w:val="262626"/>
          <w:lang w:val="en-US"/>
        </w:rPr>
        <w:t>Meditsinskoe</w:t>
      </w:r>
      <w:proofErr w:type="spellEnd"/>
      <w:r w:rsidRPr="00CE6CEB">
        <w:rPr>
          <w:rFonts w:cs="Arial"/>
          <w:color w:val="262626"/>
          <w:lang w:val="en-US"/>
        </w:rPr>
        <w:t xml:space="preserve"> </w:t>
      </w:r>
      <w:proofErr w:type="spellStart"/>
      <w:r w:rsidRPr="00CE6CEB">
        <w:rPr>
          <w:rFonts w:cs="Arial"/>
          <w:color w:val="262626"/>
          <w:lang w:val="en-US"/>
        </w:rPr>
        <w:t>informatsionnoe</w:t>
      </w:r>
      <w:proofErr w:type="spellEnd"/>
      <w:r w:rsidRPr="00CE6CEB">
        <w:rPr>
          <w:rFonts w:cs="Arial"/>
          <w:color w:val="262626"/>
          <w:lang w:val="en-US"/>
        </w:rPr>
        <w:t xml:space="preserve"> </w:t>
      </w:r>
      <w:proofErr w:type="spellStart"/>
      <w:r w:rsidRPr="00CE6CEB">
        <w:rPr>
          <w:rFonts w:cs="Arial"/>
          <w:color w:val="262626"/>
          <w:lang w:val="en-US"/>
        </w:rPr>
        <w:t>agentstvo</w:t>
      </w:r>
      <w:proofErr w:type="spellEnd"/>
      <w:r w:rsidRPr="00CE6CEB">
        <w:rPr>
          <w:rFonts w:cs="Arial"/>
          <w:color w:val="262626"/>
          <w:lang w:val="en-US"/>
        </w:rPr>
        <w:t>, 2009. - 112 s.</w:t>
      </w:r>
    </w:p>
    <w:p w:rsidR="008435E9" w:rsidRPr="00CE6CEB" w:rsidRDefault="008435E9" w:rsidP="008435E9">
      <w:pPr>
        <w:numPr>
          <w:ilvl w:val="0"/>
          <w:numId w:val="1"/>
        </w:numPr>
        <w:jc w:val="both"/>
        <w:rPr>
          <w:rFonts w:cs="Times New Roman"/>
        </w:rPr>
      </w:pPr>
      <w:proofErr w:type="spellStart"/>
      <w:r w:rsidRPr="00CE6CEB">
        <w:rPr>
          <w:rFonts w:cs="Times New Roman"/>
        </w:rPr>
        <w:t>Kutsevlyak</w:t>
      </w:r>
      <w:proofErr w:type="spellEnd"/>
      <w:r w:rsidRPr="00CE6CEB">
        <w:rPr>
          <w:rFonts w:cs="Times New Roman"/>
        </w:rPr>
        <w:t xml:space="preserve"> V. F. </w:t>
      </w:r>
      <w:proofErr w:type="spellStart"/>
      <w:r w:rsidRPr="00CE6CEB">
        <w:rPr>
          <w:rFonts w:cs="Times New Roman"/>
        </w:rPr>
        <w:t>Indeksna</w:t>
      </w:r>
      <w:proofErr w:type="spellEnd"/>
      <w:r w:rsidRPr="00CE6CEB">
        <w:rPr>
          <w:rFonts w:cs="Times New Roman"/>
        </w:rPr>
        <w:t xml:space="preserve"> </w:t>
      </w:r>
      <w:proofErr w:type="spellStart"/>
      <w:r w:rsidRPr="00CE6CEB">
        <w:rPr>
          <w:rFonts w:cs="Times New Roman"/>
        </w:rPr>
        <w:t>otsinka</w:t>
      </w:r>
      <w:proofErr w:type="spellEnd"/>
      <w:r w:rsidRPr="00CE6CEB">
        <w:rPr>
          <w:rFonts w:cs="Times New Roman"/>
        </w:rPr>
        <w:t xml:space="preserve"> </w:t>
      </w:r>
      <w:proofErr w:type="spellStart"/>
      <w:r w:rsidRPr="00CE6CEB">
        <w:rPr>
          <w:rFonts w:cs="Times New Roman"/>
        </w:rPr>
        <w:t>parodontal'noho</w:t>
      </w:r>
      <w:proofErr w:type="spellEnd"/>
      <w:r w:rsidRPr="00CE6CEB">
        <w:rPr>
          <w:rFonts w:cs="Times New Roman"/>
        </w:rPr>
        <w:t xml:space="preserve"> </w:t>
      </w:r>
      <w:proofErr w:type="spellStart"/>
      <w:r w:rsidRPr="00CE6CEB">
        <w:rPr>
          <w:rFonts w:cs="Times New Roman"/>
        </w:rPr>
        <w:t>statusu</w:t>
      </w:r>
      <w:proofErr w:type="spellEnd"/>
      <w:r w:rsidRPr="00CE6CEB">
        <w:rPr>
          <w:rFonts w:cs="Times New Roman"/>
        </w:rPr>
        <w:t>: [</w:t>
      </w:r>
      <w:proofErr w:type="spellStart"/>
      <w:r w:rsidRPr="00CE6CEB">
        <w:rPr>
          <w:rFonts w:cs="Times New Roman"/>
        </w:rPr>
        <w:t>navch</w:t>
      </w:r>
      <w:proofErr w:type="spellEnd"/>
      <w:r w:rsidRPr="00CE6CEB">
        <w:rPr>
          <w:rFonts w:cs="Times New Roman"/>
        </w:rPr>
        <w:t>.-</w:t>
      </w:r>
      <w:proofErr w:type="spellStart"/>
      <w:r w:rsidRPr="00CE6CEB">
        <w:rPr>
          <w:rFonts w:cs="Times New Roman"/>
        </w:rPr>
        <w:t>metod</w:t>
      </w:r>
      <w:proofErr w:type="spellEnd"/>
      <w:r w:rsidRPr="00CE6CEB">
        <w:rPr>
          <w:rFonts w:cs="Times New Roman"/>
        </w:rPr>
        <w:t xml:space="preserve">. </w:t>
      </w:r>
      <w:proofErr w:type="spellStart"/>
      <w:r w:rsidRPr="00CE6CEB">
        <w:rPr>
          <w:rFonts w:cs="Times New Roman"/>
        </w:rPr>
        <w:t>posib</w:t>
      </w:r>
      <w:proofErr w:type="spellEnd"/>
      <w:r w:rsidRPr="00CE6CEB">
        <w:rPr>
          <w:rFonts w:cs="Times New Roman"/>
        </w:rPr>
        <w:t xml:space="preserve">.]  / V. F. </w:t>
      </w:r>
      <w:proofErr w:type="spellStart"/>
      <w:r w:rsidRPr="00CE6CEB">
        <w:rPr>
          <w:rFonts w:cs="Times New Roman"/>
        </w:rPr>
        <w:t>Kutsevlyak</w:t>
      </w:r>
      <w:proofErr w:type="spellEnd"/>
      <w:r w:rsidRPr="00CE6CEB">
        <w:rPr>
          <w:rFonts w:cs="Times New Roman"/>
        </w:rPr>
        <w:t xml:space="preserve">, </w:t>
      </w:r>
      <w:proofErr w:type="spellStart"/>
      <w:r w:rsidRPr="00CE6CEB">
        <w:rPr>
          <w:rFonts w:cs="Times New Roman"/>
        </w:rPr>
        <w:t>Yu.V</w:t>
      </w:r>
      <w:proofErr w:type="spellEnd"/>
      <w:r w:rsidRPr="00CE6CEB">
        <w:rPr>
          <w:rFonts w:cs="Times New Roman"/>
        </w:rPr>
        <w:t xml:space="preserve">. </w:t>
      </w:r>
      <w:proofErr w:type="spellStart"/>
      <w:r w:rsidRPr="00CE6CEB">
        <w:rPr>
          <w:rFonts w:cs="Times New Roman"/>
        </w:rPr>
        <w:t>Lakhtin</w:t>
      </w:r>
      <w:proofErr w:type="spellEnd"/>
      <w:r w:rsidRPr="00CE6CEB">
        <w:rPr>
          <w:rFonts w:cs="Times New Roman"/>
        </w:rPr>
        <w:t xml:space="preserve">. – </w:t>
      </w:r>
      <w:proofErr w:type="spellStart"/>
      <w:r w:rsidRPr="00CE6CEB">
        <w:rPr>
          <w:rFonts w:cs="Times New Roman"/>
        </w:rPr>
        <w:t>Sumy</w:t>
      </w:r>
      <w:proofErr w:type="spellEnd"/>
      <w:r w:rsidRPr="00CE6CEB">
        <w:rPr>
          <w:rFonts w:cs="Times New Roman"/>
        </w:rPr>
        <w:t>: VVP «Mriya-1» LTD, 2002. – 80s.</w:t>
      </w:r>
    </w:p>
    <w:p w:rsidR="008435E9" w:rsidRPr="00CE6CEB" w:rsidRDefault="008435E9" w:rsidP="008435E9">
      <w:pPr>
        <w:numPr>
          <w:ilvl w:val="0"/>
          <w:numId w:val="1"/>
        </w:numPr>
        <w:jc w:val="both"/>
        <w:rPr>
          <w:rFonts w:cs="Times New Roman"/>
        </w:rPr>
      </w:pPr>
      <w:proofErr w:type="spellStart"/>
      <w:r w:rsidRPr="00CE6CEB">
        <w:rPr>
          <w:rFonts w:cs="Times New Roman"/>
        </w:rPr>
        <w:t>Mel'nyk</w:t>
      </w:r>
      <w:proofErr w:type="spellEnd"/>
      <w:r w:rsidRPr="00CE6CEB">
        <w:rPr>
          <w:rFonts w:cs="Times New Roman"/>
        </w:rPr>
        <w:t xml:space="preserve"> V.S., </w:t>
      </w:r>
      <w:proofErr w:type="spellStart"/>
      <w:r w:rsidRPr="00CE6CEB">
        <w:rPr>
          <w:rFonts w:cs="Times New Roman"/>
        </w:rPr>
        <w:t>Buley</w:t>
      </w:r>
      <w:proofErr w:type="spellEnd"/>
      <w:r w:rsidRPr="00CE6CEB">
        <w:rPr>
          <w:rFonts w:cs="Times New Roman"/>
        </w:rPr>
        <w:t xml:space="preserve"> L.F., </w:t>
      </w:r>
      <w:proofErr w:type="spellStart"/>
      <w:r w:rsidRPr="00CE6CEB">
        <w:rPr>
          <w:rFonts w:cs="Times New Roman"/>
        </w:rPr>
        <w:t>Kolbasko</w:t>
      </w:r>
      <w:proofErr w:type="spellEnd"/>
      <w:r w:rsidRPr="00CE6CEB">
        <w:rPr>
          <w:rFonts w:cs="Times New Roman"/>
        </w:rPr>
        <w:t xml:space="preserve"> L.V. </w:t>
      </w:r>
      <w:proofErr w:type="spellStart"/>
      <w:r w:rsidRPr="00CE6CEB">
        <w:rPr>
          <w:rFonts w:cs="Times New Roman"/>
        </w:rPr>
        <w:t>Osoblyvosti</w:t>
      </w:r>
      <w:proofErr w:type="spellEnd"/>
      <w:r w:rsidRPr="00CE6CEB">
        <w:rPr>
          <w:rFonts w:cs="Times New Roman"/>
        </w:rPr>
        <w:t xml:space="preserve"> </w:t>
      </w:r>
      <w:proofErr w:type="spellStart"/>
      <w:r w:rsidRPr="00CE6CEB">
        <w:rPr>
          <w:rFonts w:cs="Times New Roman"/>
        </w:rPr>
        <w:t>stanu</w:t>
      </w:r>
      <w:proofErr w:type="spellEnd"/>
      <w:r w:rsidRPr="00CE6CEB">
        <w:rPr>
          <w:rFonts w:cs="Times New Roman"/>
        </w:rPr>
        <w:t xml:space="preserve"> </w:t>
      </w:r>
      <w:proofErr w:type="spellStart"/>
      <w:r w:rsidRPr="00CE6CEB">
        <w:rPr>
          <w:rFonts w:cs="Times New Roman"/>
        </w:rPr>
        <w:t>tkanyn</w:t>
      </w:r>
      <w:proofErr w:type="spellEnd"/>
      <w:r w:rsidRPr="00CE6CEB">
        <w:rPr>
          <w:rFonts w:cs="Times New Roman"/>
        </w:rPr>
        <w:t xml:space="preserve"> </w:t>
      </w:r>
      <w:proofErr w:type="spellStart"/>
      <w:r w:rsidRPr="00CE6CEB">
        <w:rPr>
          <w:rFonts w:cs="Times New Roman"/>
        </w:rPr>
        <w:t>parodontu</w:t>
      </w:r>
      <w:proofErr w:type="spellEnd"/>
      <w:r w:rsidRPr="00CE6CEB">
        <w:rPr>
          <w:rFonts w:cs="Times New Roman"/>
        </w:rPr>
        <w:t xml:space="preserve"> u </w:t>
      </w:r>
      <w:proofErr w:type="spellStart"/>
      <w:r w:rsidRPr="00CE6CEB">
        <w:rPr>
          <w:rFonts w:cs="Times New Roman"/>
        </w:rPr>
        <w:t>khvorykh</w:t>
      </w:r>
      <w:proofErr w:type="spellEnd"/>
      <w:r w:rsidRPr="00CE6CEB">
        <w:rPr>
          <w:rFonts w:cs="Times New Roman"/>
        </w:rPr>
        <w:t xml:space="preserve">  z </w:t>
      </w:r>
      <w:proofErr w:type="spellStart"/>
      <w:r w:rsidRPr="00CE6CEB">
        <w:rPr>
          <w:rFonts w:cs="Times New Roman"/>
        </w:rPr>
        <w:t>shlunkovo-kyshkovoyu</w:t>
      </w:r>
      <w:proofErr w:type="spellEnd"/>
      <w:r w:rsidRPr="00CE6CEB">
        <w:rPr>
          <w:rFonts w:cs="Times New Roman"/>
        </w:rPr>
        <w:t xml:space="preserve"> </w:t>
      </w:r>
      <w:proofErr w:type="spellStart"/>
      <w:r w:rsidRPr="00CE6CEB">
        <w:rPr>
          <w:rFonts w:cs="Times New Roman"/>
        </w:rPr>
        <w:t>patolohiyeyu</w:t>
      </w:r>
      <w:proofErr w:type="spellEnd"/>
      <w:r w:rsidRPr="00CE6CEB">
        <w:rPr>
          <w:rFonts w:cs="Times New Roman"/>
        </w:rPr>
        <w:t xml:space="preserve">. - XVIII </w:t>
      </w:r>
      <w:proofErr w:type="spellStart"/>
      <w:r w:rsidRPr="00CE6CEB">
        <w:rPr>
          <w:rFonts w:cs="Times New Roman"/>
        </w:rPr>
        <w:t>Mizhnarodnyy</w:t>
      </w:r>
      <w:proofErr w:type="spellEnd"/>
      <w:r w:rsidRPr="00CE6CEB">
        <w:rPr>
          <w:rFonts w:cs="Times New Roman"/>
        </w:rPr>
        <w:t xml:space="preserve"> </w:t>
      </w:r>
      <w:proofErr w:type="spellStart"/>
      <w:r w:rsidRPr="00CE6CEB">
        <w:rPr>
          <w:rFonts w:cs="Times New Roman"/>
        </w:rPr>
        <w:t>medychnyy</w:t>
      </w:r>
      <w:proofErr w:type="spellEnd"/>
      <w:r w:rsidRPr="00CE6CEB">
        <w:rPr>
          <w:rFonts w:cs="Times New Roman"/>
        </w:rPr>
        <w:t xml:space="preserve"> </w:t>
      </w:r>
      <w:proofErr w:type="spellStart"/>
      <w:r w:rsidRPr="00CE6CEB">
        <w:rPr>
          <w:rFonts w:cs="Times New Roman"/>
        </w:rPr>
        <w:t>konhres</w:t>
      </w:r>
      <w:proofErr w:type="spellEnd"/>
      <w:r w:rsidRPr="00CE6CEB">
        <w:rPr>
          <w:rFonts w:cs="Times New Roman"/>
        </w:rPr>
        <w:t xml:space="preserve"> </w:t>
      </w:r>
      <w:proofErr w:type="spellStart"/>
      <w:r w:rsidRPr="00CE6CEB">
        <w:rPr>
          <w:rFonts w:cs="Times New Roman"/>
        </w:rPr>
        <w:t>studentiv</w:t>
      </w:r>
      <w:proofErr w:type="spellEnd"/>
      <w:r w:rsidRPr="00CE6CEB">
        <w:rPr>
          <w:rFonts w:cs="Times New Roman"/>
        </w:rPr>
        <w:t xml:space="preserve"> i </w:t>
      </w:r>
      <w:proofErr w:type="spellStart"/>
      <w:r w:rsidRPr="00CE6CEB">
        <w:rPr>
          <w:rFonts w:cs="Times New Roman"/>
        </w:rPr>
        <w:t>molodykh</w:t>
      </w:r>
      <w:proofErr w:type="spellEnd"/>
      <w:r w:rsidRPr="00CE6CEB">
        <w:rPr>
          <w:rFonts w:cs="Times New Roman"/>
        </w:rPr>
        <w:t xml:space="preserve"> </w:t>
      </w:r>
      <w:proofErr w:type="spellStart"/>
      <w:r w:rsidRPr="00CE6CEB">
        <w:rPr>
          <w:rFonts w:cs="Times New Roman"/>
        </w:rPr>
        <w:t>vchenykh</w:t>
      </w:r>
      <w:proofErr w:type="spellEnd"/>
      <w:r w:rsidRPr="00CE6CEB">
        <w:rPr>
          <w:rFonts w:cs="Times New Roman"/>
        </w:rPr>
        <w:t xml:space="preserve"> «</w:t>
      </w:r>
      <w:proofErr w:type="spellStart"/>
      <w:r w:rsidRPr="00CE6CEB">
        <w:rPr>
          <w:rFonts w:cs="Times New Roman"/>
        </w:rPr>
        <w:t>Suchasni</w:t>
      </w:r>
      <w:proofErr w:type="spellEnd"/>
      <w:r w:rsidRPr="00CE6CEB">
        <w:rPr>
          <w:rFonts w:cs="Times New Roman"/>
        </w:rPr>
        <w:t xml:space="preserve"> </w:t>
      </w:r>
      <w:proofErr w:type="spellStart"/>
      <w:r w:rsidRPr="00CE6CEB">
        <w:rPr>
          <w:rFonts w:cs="Times New Roman"/>
        </w:rPr>
        <w:t>pohlyady</w:t>
      </w:r>
      <w:proofErr w:type="spellEnd"/>
      <w:r w:rsidRPr="00CE6CEB">
        <w:rPr>
          <w:rFonts w:cs="Times New Roman"/>
        </w:rPr>
        <w:t xml:space="preserve"> </w:t>
      </w:r>
      <w:proofErr w:type="spellStart"/>
      <w:r w:rsidRPr="00CE6CEB">
        <w:rPr>
          <w:rFonts w:cs="Times New Roman"/>
        </w:rPr>
        <w:t>na</w:t>
      </w:r>
      <w:proofErr w:type="spellEnd"/>
      <w:r w:rsidRPr="00CE6CEB">
        <w:rPr>
          <w:rFonts w:cs="Times New Roman"/>
        </w:rPr>
        <w:t xml:space="preserve"> </w:t>
      </w:r>
      <w:proofErr w:type="spellStart"/>
      <w:r w:rsidRPr="00CE6CEB">
        <w:rPr>
          <w:rFonts w:cs="Times New Roman"/>
        </w:rPr>
        <w:t>aktual'ni</w:t>
      </w:r>
      <w:proofErr w:type="spellEnd"/>
      <w:r w:rsidRPr="00CE6CEB">
        <w:rPr>
          <w:rFonts w:cs="Times New Roman"/>
        </w:rPr>
        <w:t xml:space="preserve"> </w:t>
      </w:r>
      <w:proofErr w:type="spellStart"/>
      <w:r w:rsidRPr="00CE6CEB">
        <w:rPr>
          <w:rFonts w:cs="Times New Roman"/>
        </w:rPr>
        <w:t>pytannya</w:t>
      </w:r>
      <w:proofErr w:type="spellEnd"/>
      <w:r w:rsidRPr="00CE6CEB">
        <w:rPr>
          <w:rFonts w:cs="Times New Roman"/>
        </w:rPr>
        <w:t xml:space="preserve"> </w:t>
      </w:r>
      <w:proofErr w:type="spellStart"/>
      <w:r w:rsidRPr="00CE6CEB">
        <w:rPr>
          <w:rFonts w:cs="Times New Roman"/>
        </w:rPr>
        <w:t>teoretychnoyi</w:t>
      </w:r>
      <w:proofErr w:type="spellEnd"/>
      <w:r w:rsidRPr="00CE6CEB">
        <w:rPr>
          <w:rFonts w:cs="Times New Roman"/>
        </w:rPr>
        <w:t xml:space="preserve">, </w:t>
      </w:r>
      <w:proofErr w:type="spellStart"/>
      <w:r w:rsidRPr="00CE6CEB">
        <w:rPr>
          <w:rFonts w:cs="Times New Roman"/>
        </w:rPr>
        <w:t>eksperymental'noyi</w:t>
      </w:r>
      <w:proofErr w:type="spellEnd"/>
      <w:r w:rsidRPr="00CE6CEB">
        <w:rPr>
          <w:rFonts w:cs="Times New Roman"/>
        </w:rPr>
        <w:t xml:space="preserve">  </w:t>
      </w:r>
      <w:proofErr w:type="spellStart"/>
      <w:r w:rsidRPr="00CE6CEB">
        <w:rPr>
          <w:rFonts w:cs="Times New Roman"/>
        </w:rPr>
        <w:t>ta</w:t>
      </w:r>
      <w:proofErr w:type="spellEnd"/>
      <w:r w:rsidRPr="00CE6CEB">
        <w:rPr>
          <w:rFonts w:cs="Times New Roman"/>
        </w:rPr>
        <w:t xml:space="preserve"> </w:t>
      </w:r>
      <w:proofErr w:type="spellStart"/>
      <w:r w:rsidRPr="00CE6CEB">
        <w:rPr>
          <w:rFonts w:cs="Times New Roman"/>
        </w:rPr>
        <w:t>prakt</w:t>
      </w:r>
      <w:proofErr w:type="spellEnd"/>
      <w:r w:rsidRPr="00CE6CEB">
        <w:rPr>
          <w:rFonts w:cs="Times New Roman"/>
        </w:rPr>
        <w:t xml:space="preserve">. </w:t>
      </w:r>
      <w:proofErr w:type="spellStart"/>
      <w:r w:rsidRPr="00CE6CEB">
        <w:rPr>
          <w:rFonts w:cs="Times New Roman"/>
        </w:rPr>
        <w:t>medytsyny</w:t>
      </w:r>
      <w:proofErr w:type="spellEnd"/>
      <w:r w:rsidRPr="00CE6CEB">
        <w:rPr>
          <w:rFonts w:cs="Times New Roman"/>
        </w:rPr>
        <w:t xml:space="preserve">», 28-30 </w:t>
      </w:r>
      <w:proofErr w:type="spellStart"/>
      <w:r w:rsidRPr="00CE6CEB">
        <w:rPr>
          <w:rFonts w:cs="Times New Roman"/>
        </w:rPr>
        <w:t>kvitnya</w:t>
      </w:r>
      <w:proofErr w:type="spellEnd"/>
      <w:r w:rsidRPr="00CE6CEB">
        <w:rPr>
          <w:rFonts w:cs="Times New Roman"/>
        </w:rPr>
        <w:t xml:space="preserve"> 2014r. - </w:t>
      </w:r>
      <w:proofErr w:type="spellStart"/>
      <w:r w:rsidRPr="00CE6CEB">
        <w:rPr>
          <w:rFonts w:cs="Times New Roman"/>
        </w:rPr>
        <w:t>Ternopil</w:t>
      </w:r>
      <w:proofErr w:type="spellEnd"/>
      <w:r w:rsidRPr="00CE6CEB">
        <w:rPr>
          <w:rFonts w:cs="Times New Roman"/>
        </w:rPr>
        <w:t>'. - S.170.</w:t>
      </w:r>
    </w:p>
    <w:p w:rsidR="008435E9" w:rsidRPr="00CE6CEB" w:rsidRDefault="008435E9" w:rsidP="008435E9">
      <w:pPr>
        <w:numPr>
          <w:ilvl w:val="0"/>
          <w:numId w:val="1"/>
        </w:numPr>
        <w:jc w:val="both"/>
        <w:rPr>
          <w:rFonts w:cs="Times New Roman"/>
        </w:rPr>
      </w:pPr>
      <w:proofErr w:type="spellStart"/>
      <w:r w:rsidRPr="00CE6CEB">
        <w:rPr>
          <w:rFonts w:cs="Times New Roman"/>
        </w:rPr>
        <w:t>Mel'nyk</w:t>
      </w:r>
      <w:proofErr w:type="spellEnd"/>
      <w:r w:rsidRPr="00CE6CEB">
        <w:rPr>
          <w:rFonts w:cs="Times New Roman"/>
        </w:rPr>
        <w:t xml:space="preserve"> V.S., </w:t>
      </w:r>
      <w:proofErr w:type="spellStart"/>
      <w:r w:rsidRPr="00CE6CEB">
        <w:rPr>
          <w:rFonts w:cs="Times New Roman"/>
        </w:rPr>
        <w:t>Buley</w:t>
      </w:r>
      <w:proofErr w:type="spellEnd"/>
      <w:r w:rsidRPr="00CE6CEB">
        <w:rPr>
          <w:rFonts w:cs="Times New Roman"/>
        </w:rPr>
        <w:t xml:space="preserve"> L.F. </w:t>
      </w:r>
      <w:proofErr w:type="spellStart"/>
      <w:r w:rsidRPr="00CE6CEB">
        <w:rPr>
          <w:rFonts w:cs="Times New Roman"/>
        </w:rPr>
        <w:t>Zakhvoryuvannya</w:t>
      </w:r>
      <w:proofErr w:type="spellEnd"/>
      <w:r w:rsidRPr="00CE6CEB">
        <w:rPr>
          <w:rFonts w:cs="Times New Roman"/>
        </w:rPr>
        <w:t xml:space="preserve"> </w:t>
      </w:r>
      <w:proofErr w:type="spellStart"/>
      <w:r w:rsidRPr="00CE6CEB">
        <w:rPr>
          <w:rFonts w:cs="Times New Roman"/>
        </w:rPr>
        <w:t>tkanyn</w:t>
      </w:r>
      <w:proofErr w:type="spellEnd"/>
      <w:r w:rsidRPr="00CE6CEB">
        <w:rPr>
          <w:rFonts w:cs="Times New Roman"/>
        </w:rPr>
        <w:t xml:space="preserve"> </w:t>
      </w:r>
      <w:proofErr w:type="spellStart"/>
      <w:r w:rsidRPr="00CE6CEB">
        <w:rPr>
          <w:rFonts w:cs="Times New Roman"/>
        </w:rPr>
        <w:t>parodontu</w:t>
      </w:r>
      <w:proofErr w:type="spellEnd"/>
      <w:r w:rsidRPr="00CE6CEB">
        <w:rPr>
          <w:rFonts w:cs="Times New Roman"/>
        </w:rPr>
        <w:t xml:space="preserve"> u </w:t>
      </w:r>
      <w:proofErr w:type="spellStart"/>
      <w:r w:rsidRPr="00CE6CEB">
        <w:rPr>
          <w:rFonts w:cs="Times New Roman"/>
        </w:rPr>
        <w:t>pidlitkiv</w:t>
      </w:r>
      <w:proofErr w:type="spellEnd"/>
      <w:r w:rsidRPr="00CE6CEB">
        <w:rPr>
          <w:rFonts w:cs="Times New Roman"/>
        </w:rPr>
        <w:t xml:space="preserve"> </w:t>
      </w:r>
      <w:proofErr w:type="spellStart"/>
      <w:r w:rsidRPr="00CE6CEB">
        <w:rPr>
          <w:rFonts w:cs="Times New Roman"/>
        </w:rPr>
        <w:t>m.Uzhhoroda</w:t>
      </w:r>
      <w:proofErr w:type="spellEnd"/>
      <w:r w:rsidRPr="00CE6CEB">
        <w:rPr>
          <w:rFonts w:cs="Times New Roman"/>
        </w:rPr>
        <w:t xml:space="preserve">. - </w:t>
      </w:r>
      <w:proofErr w:type="spellStart"/>
      <w:r w:rsidRPr="00CE6CEB">
        <w:rPr>
          <w:rFonts w:cs="Times New Roman"/>
        </w:rPr>
        <w:t>Zbirnyk</w:t>
      </w:r>
      <w:proofErr w:type="spellEnd"/>
      <w:r w:rsidRPr="00CE6CEB">
        <w:rPr>
          <w:rFonts w:cs="Times New Roman"/>
        </w:rPr>
        <w:t xml:space="preserve"> </w:t>
      </w:r>
      <w:proofErr w:type="spellStart"/>
      <w:r w:rsidRPr="00CE6CEB">
        <w:rPr>
          <w:rFonts w:cs="Times New Roman"/>
        </w:rPr>
        <w:t>materialiv</w:t>
      </w:r>
      <w:proofErr w:type="spellEnd"/>
      <w:r w:rsidRPr="00CE6CEB">
        <w:rPr>
          <w:rFonts w:cs="Times New Roman"/>
        </w:rPr>
        <w:t xml:space="preserve">  </w:t>
      </w:r>
      <w:proofErr w:type="spellStart"/>
      <w:r w:rsidRPr="00CE6CEB">
        <w:rPr>
          <w:rFonts w:cs="Times New Roman"/>
        </w:rPr>
        <w:t>mizhnarodnoyi</w:t>
      </w:r>
      <w:proofErr w:type="spellEnd"/>
      <w:r w:rsidRPr="00CE6CEB">
        <w:rPr>
          <w:rFonts w:cs="Times New Roman"/>
        </w:rPr>
        <w:t xml:space="preserve">  </w:t>
      </w:r>
      <w:proofErr w:type="spellStart"/>
      <w:r w:rsidRPr="00CE6CEB">
        <w:rPr>
          <w:rFonts w:cs="Times New Roman"/>
        </w:rPr>
        <w:t>naukovo-praktychnoyi</w:t>
      </w:r>
      <w:proofErr w:type="spellEnd"/>
      <w:r w:rsidRPr="00CE6CEB">
        <w:rPr>
          <w:rFonts w:cs="Times New Roman"/>
        </w:rPr>
        <w:t xml:space="preserve">  </w:t>
      </w:r>
      <w:proofErr w:type="spellStart"/>
      <w:r w:rsidRPr="00CE6CEB">
        <w:rPr>
          <w:rFonts w:cs="Times New Roman"/>
        </w:rPr>
        <w:t>konferentsiyi</w:t>
      </w:r>
      <w:proofErr w:type="spellEnd"/>
      <w:r w:rsidRPr="00CE6CEB">
        <w:rPr>
          <w:rFonts w:cs="Times New Roman"/>
        </w:rPr>
        <w:t xml:space="preserve"> «</w:t>
      </w:r>
      <w:proofErr w:type="spellStart"/>
      <w:r w:rsidRPr="00CE6CEB">
        <w:rPr>
          <w:rFonts w:cs="Times New Roman"/>
        </w:rPr>
        <w:t>Problemy</w:t>
      </w:r>
      <w:proofErr w:type="spellEnd"/>
      <w:r w:rsidRPr="00CE6CEB">
        <w:rPr>
          <w:rFonts w:cs="Times New Roman"/>
        </w:rPr>
        <w:t xml:space="preserve"> </w:t>
      </w:r>
      <w:proofErr w:type="spellStart"/>
      <w:r w:rsidRPr="00CE6CEB">
        <w:rPr>
          <w:rFonts w:cs="Times New Roman"/>
        </w:rPr>
        <w:t>ta</w:t>
      </w:r>
      <w:proofErr w:type="spellEnd"/>
      <w:r w:rsidRPr="00CE6CEB">
        <w:rPr>
          <w:rFonts w:cs="Times New Roman"/>
        </w:rPr>
        <w:t xml:space="preserve"> </w:t>
      </w:r>
      <w:proofErr w:type="spellStart"/>
      <w:r w:rsidRPr="00CE6CEB">
        <w:rPr>
          <w:rFonts w:cs="Times New Roman"/>
        </w:rPr>
        <w:t>stan</w:t>
      </w:r>
      <w:proofErr w:type="spellEnd"/>
      <w:r w:rsidRPr="00CE6CEB">
        <w:rPr>
          <w:rFonts w:cs="Times New Roman"/>
        </w:rPr>
        <w:t xml:space="preserve"> </w:t>
      </w:r>
      <w:proofErr w:type="spellStart"/>
      <w:r w:rsidRPr="00CE6CEB">
        <w:rPr>
          <w:rFonts w:cs="Times New Roman"/>
        </w:rPr>
        <w:t>rozvytku</w:t>
      </w:r>
      <w:proofErr w:type="spellEnd"/>
      <w:r w:rsidRPr="00CE6CEB">
        <w:rPr>
          <w:rFonts w:cs="Times New Roman"/>
        </w:rPr>
        <w:t xml:space="preserve"> </w:t>
      </w:r>
      <w:proofErr w:type="spellStart"/>
      <w:r w:rsidRPr="00CE6CEB">
        <w:rPr>
          <w:rFonts w:cs="Times New Roman"/>
        </w:rPr>
        <w:t>medychnoyi</w:t>
      </w:r>
      <w:proofErr w:type="spellEnd"/>
      <w:r w:rsidRPr="00CE6CEB">
        <w:rPr>
          <w:rFonts w:cs="Times New Roman"/>
        </w:rPr>
        <w:t xml:space="preserve"> </w:t>
      </w:r>
      <w:proofErr w:type="spellStart"/>
      <w:r w:rsidRPr="00CE6CEB">
        <w:rPr>
          <w:rFonts w:cs="Times New Roman"/>
        </w:rPr>
        <w:t>nauky</w:t>
      </w:r>
      <w:proofErr w:type="spellEnd"/>
      <w:r w:rsidRPr="00CE6CEB">
        <w:rPr>
          <w:rFonts w:cs="Times New Roman"/>
        </w:rPr>
        <w:t xml:space="preserve"> </w:t>
      </w:r>
      <w:proofErr w:type="spellStart"/>
      <w:r w:rsidRPr="00CE6CEB">
        <w:rPr>
          <w:rFonts w:cs="Times New Roman"/>
        </w:rPr>
        <w:t>ta</w:t>
      </w:r>
      <w:proofErr w:type="spellEnd"/>
      <w:r w:rsidRPr="00CE6CEB">
        <w:rPr>
          <w:rFonts w:cs="Times New Roman"/>
        </w:rPr>
        <w:t xml:space="preserve"> </w:t>
      </w:r>
      <w:proofErr w:type="spellStart"/>
      <w:r w:rsidRPr="00CE6CEB">
        <w:rPr>
          <w:rFonts w:cs="Times New Roman"/>
        </w:rPr>
        <w:t>praktyky</w:t>
      </w:r>
      <w:proofErr w:type="spellEnd"/>
      <w:r w:rsidRPr="00CE6CEB">
        <w:rPr>
          <w:rFonts w:cs="Times New Roman"/>
        </w:rPr>
        <w:t xml:space="preserve"> v </w:t>
      </w:r>
      <w:proofErr w:type="spellStart"/>
      <w:r w:rsidRPr="00CE6CEB">
        <w:rPr>
          <w:rFonts w:cs="Times New Roman"/>
        </w:rPr>
        <w:t>Ukrayini</w:t>
      </w:r>
      <w:proofErr w:type="spellEnd"/>
      <w:r w:rsidRPr="00CE6CEB">
        <w:rPr>
          <w:rFonts w:cs="Times New Roman"/>
        </w:rPr>
        <w:t xml:space="preserve">», </w:t>
      </w:r>
      <w:proofErr w:type="spellStart"/>
      <w:r w:rsidRPr="00CE6CEB">
        <w:rPr>
          <w:rFonts w:cs="Times New Roman"/>
        </w:rPr>
        <w:t>m.Dnipropetrovs'k</w:t>
      </w:r>
      <w:proofErr w:type="spellEnd"/>
      <w:r w:rsidRPr="00CE6CEB">
        <w:rPr>
          <w:rFonts w:cs="Times New Roman"/>
        </w:rPr>
        <w:t xml:space="preserve">.- 21-22 </w:t>
      </w:r>
      <w:proofErr w:type="spellStart"/>
      <w:r w:rsidRPr="00CE6CEB">
        <w:rPr>
          <w:rFonts w:cs="Times New Roman"/>
        </w:rPr>
        <w:t>chervnya</w:t>
      </w:r>
      <w:proofErr w:type="spellEnd"/>
      <w:r w:rsidRPr="00CE6CEB">
        <w:rPr>
          <w:rFonts w:cs="Times New Roman"/>
        </w:rPr>
        <w:t xml:space="preserve"> 2013. – S.73-75.</w:t>
      </w:r>
    </w:p>
    <w:p w:rsidR="008435E9" w:rsidRPr="00CE6CEB" w:rsidRDefault="008435E9" w:rsidP="008435E9">
      <w:pPr>
        <w:numPr>
          <w:ilvl w:val="0"/>
          <w:numId w:val="1"/>
        </w:numPr>
        <w:jc w:val="both"/>
        <w:rPr>
          <w:rFonts w:cs="Times New Roman"/>
        </w:rPr>
      </w:pPr>
      <w:proofErr w:type="spellStart"/>
      <w:r w:rsidRPr="00CE6CEB">
        <w:rPr>
          <w:rFonts w:cs="Times New Roman"/>
        </w:rPr>
        <w:t>Mel'nyk</w:t>
      </w:r>
      <w:proofErr w:type="spellEnd"/>
      <w:r w:rsidRPr="00CE6CEB">
        <w:rPr>
          <w:rFonts w:cs="Times New Roman"/>
        </w:rPr>
        <w:t xml:space="preserve"> V.S., </w:t>
      </w:r>
      <w:proofErr w:type="spellStart"/>
      <w:r w:rsidRPr="00CE6CEB">
        <w:rPr>
          <w:rFonts w:cs="Times New Roman"/>
        </w:rPr>
        <w:t>Buley</w:t>
      </w:r>
      <w:proofErr w:type="spellEnd"/>
      <w:r w:rsidRPr="00CE6CEB">
        <w:rPr>
          <w:rFonts w:cs="Times New Roman"/>
        </w:rPr>
        <w:t xml:space="preserve"> L.F. </w:t>
      </w:r>
      <w:proofErr w:type="spellStart"/>
      <w:r w:rsidRPr="00CE6CEB">
        <w:rPr>
          <w:rFonts w:cs="Times New Roman"/>
        </w:rPr>
        <w:t>Parodontal'nyy</w:t>
      </w:r>
      <w:proofErr w:type="spellEnd"/>
      <w:r w:rsidRPr="00CE6CEB">
        <w:rPr>
          <w:rFonts w:cs="Times New Roman"/>
        </w:rPr>
        <w:t xml:space="preserve"> </w:t>
      </w:r>
      <w:proofErr w:type="spellStart"/>
      <w:r w:rsidRPr="00CE6CEB">
        <w:rPr>
          <w:rFonts w:cs="Times New Roman"/>
        </w:rPr>
        <w:t>status</w:t>
      </w:r>
      <w:proofErr w:type="spellEnd"/>
      <w:r w:rsidRPr="00CE6CEB">
        <w:rPr>
          <w:rFonts w:cs="Times New Roman"/>
        </w:rPr>
        <w:t xml:space="preserve"> </w:t>
      </w:r>
      <w:proofErr w:type="spellStart"/>
      <w:r w:rsidRPr="00CE6CEB">
        <w:rPr>
          <w:rFonts w:cs="Times New Roman"/>
        </w:rPr>
        <w:t>pidlitkiv</w:t>
      </w:r>
      <w:proofErr w:type="spellEnd"/>
      <w:r w:rsidRPr="00CE6CEB">
        <w:rPr>
          <w:rFonts w:cs="Times New Roman"/>
        </w:rPr>
        <w:t xml:space="preserve"> z </w:t>
      </w:r>
      <w:proofErr w:type="spellStart"/>
      <w:r w:rsidRPr="00CE6CEB">
        <w:rPr>
          <w:rFonts w:cs="Times New Roman"/>
        </w:rPr>
        <w:t>khronichnym</w:t>
      </w:r>
      <w:proofErr w:type="spellEnd"/>
      <w:r w:rsidRPr="00CE6CEB">
        <w:rPr>
          <w:rFonts w:cs="Times New Roman"/>
        </w:rPr>
        <w:t xml:space="preserve"> </w:t>
      </w:r>
      <w:proofErr w:type="spellStart"/>
      <w:r w:rsidRPr="00CE6CEB">
        <w:rPr>
          <w:rFonts w:cs="Times New Roman"/>
        </w:rPr>
        <w:t>hastroduodenitom</w:t>
      </w:r>
      <w:proofErr w:type="spellEnd"/>
      <w:r w:rsidRPr="00CE6CEB">
        <w:rPr>
          <w:rFonts w:cs="Times New Roman"/>
        </w:rPr>
        <w:t xml:space="preserve">. - </w:t>
      </w:r>
      <w:proofErr w:type="spellStart"/>
      <w:r w:rsidRPr="00CE6CEB">
        <w:rPr>
          <w:rFonts w:cs="Times New Roman"/>
        </w:rPr>
        <w:t>Naukovo-praktychnyy</w:t>
      </w:r>
      <w:proofErr w:type="spellEnd"/>
      <w:r w:rsidRPr="00CE6CEB">
        <w:rPr>
          <w:rFonts w:cs="Times New Roman"/>
        </w:rPr>
        <w:t xml:space="preserve">  </w:t>
      </w:r>
      <w:proofErr w:type="spellStart"/>
      <w:r w:rsidRPr="00CE6CEB">
        <w:rPr>
          <w:rFonts w:cs="Times New Roman"/>
        </w:rPr>
        <w:t>zhurnal</w:t>
      </w:r>
      <w:proofErr w:type="spellEnd"/>
      <w:r w:rsidRPr="00CE6CEB">
        <w:rPr>
          <w:rFonts w:cs="Times New Roman"/>
        </w:rPr>
        <w:t xml:space="preserve">  «</w:t>
      </w:r>
      <w:proofErr w:type="spellStart"/>
      <w:r w:rsidRPr="00CE6CEB">
        <w:rPr>
          <w:rFonts w:cs="Times New Roman"/>
        </w:rPr>
        <w:t>Ukrayins'kyy</w:t>
      </w:r>
      <w:proofErr w:type="spellEnd"/>
      <w:r w:rsidRPr="00CE6CEB">
        <w:rPr>
          <w:rFonts w:cs="Times New Roman"/>
        </w:rPr>
        <w:t xml:space="preserve"> </w:t>
      </w:r>
      <w:proofErr w:type="spellStart"/>
      <w:r w:rsidRPr="00CE6CEB">
        <w:rPr>
          <w:rFonts w:cs="Times New Roman"/>
        </w:rPr>
        <w:t>medychnyy</w:t>
      </w:r>
      <w:proofErr w:type="spellEnd"/>
      <w:r w:rsidRPr="00CE6CEB">
        <w:rPr>
          <w:rFonts w:cs="Times New Roman"/>
        </w:rPr>
        <w:t xml:space="preserve"> </w:t>
      </w:r>
      <w:proofErr w:type="spellStart"/>
      <w:r w:rsidRPr="00CE6CEB">
        <w:rPr>
          <w:rFonts w:cs="Times New Roman"/>
        </w:rPr>
        <w:t>al'manakh</w:t>
      </w:r>
      <w:proofErr w:type="spellEnd"/>
      <w:r w:rsidRPr="00CE6CEB">
        <w:rPr>
          <w:rFonts w:cs="Times New Roman"/>
        </w:rPr>
        <w:t>», 2013. - T.16. - #1. - S.122.</w:t>
      </w:r>
    </w:p>
    <w:p w:rsidR="008435E9" w:rsidRPr="00CE6CEB" w:rsidRDefault="008435E9" w:rsidP="008435E9">
      <w:pPr>
        <w:widowControl w:val="0"/>
        <w:numPr>
          <w:ilvl w:val="0"/>
          <w:numId w:val="1"/>
        </w:numPr>
        <w:suppressAutoHyphens/>
        <w:spacing w:before="43"/>
        <w:jc w:val="both"/>
        <w:rPr>
          <w:rStyle w:val="FontStyle19"/>
          <w:rFonts w:asciiTheme="minorHAnsi" w:hAnsiTheme="minorHAnsi" w:cs="Times New Roman"/>
          <w:sz w:val="24"/>
        </w:rPr>
      </w:pPr>
      <w:proofErr w:type="spellStart"/>
      <w:r w:rsidRPr="00CE6CEB">
        <w:rPr>
          <w:rStyle w:val="FontStyle19"/>
          <w:rFonts w:asciiTheme="minorHAnsi" w:hAnsiTheme="minorHAnsi" w:cs="Times New Roman"/>
          <w:sz w:val="24"/>
        </w:rPr>
        <w:t>Petersen</w:t>
      </w:r>
      <w:proofErr w:type="spellEnd"/>
      <w:r w:rsidRPr="00CE6CEB">
        <w:rPr>
          <w:rStyle w:val="FontStyle19"/>
          <w:rFonts w:asciiTheme="minorHAnsi" w:hAnsiTheme="minorHAnsi" w:cs="Times New Roman"/>
          <w:sz w:val="24"/>
        </w:rPr>
        <w:t xml:space="preserve"> P. E. </w:t>
      </w:r>
      <w:proofErr w:type="spellStart"/>
      <w:r w:rsidRPr="00CE6CEB">
        <w:rPr>
          <w:rStyle w:val="FontStyle19"/>
          <w:rFonts w:asciiTheme="minorHAnsi" w:hAnsiTheme="minorHAnsi" w:cs="Times New Roman"/>
          <w:sz w:val="24"/>
        </w:rPr>
        <w:t>Strengthening</w:t>
      </w:r>
      <w:proofErr w:type="spellEnd"/>
      <w:r w:rsidRPr="00CE6CEB">
        <w:rPr>
          <w:rStyle w:val="FontStyle19"/>
          <w:rFonts w:asciiTheme="minorHAnsi" w:hAnsiTheme="minorHAnsi" w:cs="Times New Roman"/>
          <w:sz w:val="24"/>
        </w:rPr>
        <w:t xml:space="preserve"> </w:t>
      </w:r>
      <w:proofErr w:type="spellStart"/>
      <w:r w:rsidRPr="00CE6CEB">
        <w:rPr>
          <w:rStyle w:val="FontStyle19"/>
          <w:rFonts w:asciiTheme="minorHAnsi" w:hAnsiTheme="minorHAnsi" w:cs="Times New Roman"/>
          <w:sz w:val="24"/>
        </w:rPr>
        <w:t>the</w:t>
      </w:r>
      <w:proofErr w:type="spellEnd"/>
      <w:r w:rsidRPr="00CE6CEB">
        <w:rPr>
          <w:rStyle w:val="FontStyle19"/>
          <w:rFonts w:asciiTheme="minorHAnsi" w:hAnsiTheme="minorHAnsi" w:cs="Times New Roman"/>
          <w:sz w:val="24"/>
        </w:rPr>
        <w:t xml:space="preserve"> </w:t>
      </w:r>
      <w:proofErr w:type="spellStart"/>
      <w:r w:rsidRPr="00CE6CEB">
        <w:rPr>
          <w:rStyle w:val="FontStyle19"/>
          <w:rFonts w:asciiTheme="minorHAnsi" w:hAnsiTheme="minorHAnsi" w:cs="Times New Roman"/>
          <w:sz w:val="24"/>
        </w:rPr>
        <w:t>Prevention</w:t>
      </w:r>
      <w:proofErr w:type="spellEnd"/>
      <w:r w:rsidRPr="00CE6CEB">
        <w:rPr>
          <w:rStyle w:val="FontStyle19"/>
          <w:rFonts w:asciiTheme="minorHAnsi" w:hAnsiTheme="minorHAnsi" w:cs="Times New Roman"/>
          <w:sz w:val="24"/>
        </w:rPr>
        <w:t xml:space="preserve"> </w:t>
      </w:r>
      <w:proofErr w:type="spellStart"/>
      <w:r w:rsidRPr="00CE6CEB">
        <w:rPr>
          <w:rStyle w:val="FontStyle19"/>
          <w:rFonts w:asciiTheme="minorHAnsi" w:hAnsiTheme="minorHAnsi" w:cs="Times New Roman"/>
          <w:sz w:val="24"/>
        </w:rPr>
        <w:t>of</w:t>
      </w:r>
      <w:proofErr w:type="spellEnd"/>
      <w:r w:rsidRPr="00CE6CEB">
        <w:rPr>
          <w:rStyle w:val="FontStyle19"/>
          <w:rFonts w:asciiTheme="minorHAnsi" w:hAnsiTheme="minorHAnsi" w:cs="Times New Roman"/>
          <w:sz w:val="24"/>
        </w:rPr>
        <w:t xml:space="preserve"> </w:t>
      </w:r>
      <w:proofErr w:type="spellStart"/>
      <w:r w:rsidRPr="00CE6CEB">
        <w:rPr>
          <w:rStyle w:val="FontStyle19"/>
          <w:rFonts w:asciiTheme="minorHAnsi" w:hAnsiTheme="minorHAnsi" w:cs="Times New Roman"/>
          <w:sz w:val="24"/>
        </w:rPr>
        <w:t>Periodontal</w:t>
      </w:r>
      <w:proofErr w:type="spellEnd"/>
      <w:r w:rsidRPr="00CE6CEB">
        <w:rPr>
          <w:rStyle w:val="FontStyle19"/>
          <w:rFonts w:asciiTheme="minorHAnsi" w:hAnsiTheme="minorHAnsi" w:cs="Times New Roman"/>
          <w:sz w:val="24"/>
        </w:rPr>
        <w:t xml:space="preserve"> </w:t>
      </w:r>
      <w:proofErr w:type="spellStart"/>
      <w:r w:rsidRPr="00CE6CEB">
        <w:rPr>
          <w:rStyle w:val="FontStyle19"/>
          <w:rFonts w:asciiTheme="minorHAnsi" w:hAnsiTheme="minorHAnsi" w:cs="Times New Roman"/>
          <w:sz w:val="24"/>
        </w:rPr>
        <w:t>Disease</w:t>
      </w:r>
      <w:proofErr w:type="spellEnd"/>
      <w:r w:rsidRPr="00CE6CEB">
        <w:rPr>
          <w:rStyle w:val="FontStyle19"/>
          <w:rFonts w:asciiTheme="minorHAnsi" w:hAnsiTheme="minorHAnsi" w:cs="Times New Roman"/>
          <w:sz w:val="24"/>
        </w:rPr>
        <w:t xml:space="preserve">: </w:t>
      </w:r>
      <w:proofErr w:type="spellStart"/>
      <w:r w:rsidRPr="00CE6CEB">
        <w:rPr>
          <w:rStyle w:val="FontStyle19"/>
          <w:rFonts w:asciiTheme="minorHAnsi" w:hAnsiTheme="minorHAnsi" w:cs="Times New Roman"/>
          <w:sz w:val="24"/>
        </w:rPr>
        <w:t>The</w:t>
      </w:r>
      <w:proofErr w:type="spellEnd"/>
      <w:r w:rsidRPr="00CE6CEB">
        <w:rPr>
          <w:rStyle w:val="FontStyle19"/>
          <w:rFonts w:asciiTheme="minorHAnsi" w:hAnsiTheme="minorHAnsi" w:cs="Times New Roman"/>
          <w:sz w:val="24"/>
        </w:rPr>
        <w:t xml:space="preserve"> WHO </w:t>
      </w:r>
      <w:proofErr w:type="spellStart"/>
      <w:r w:rsidRPr="00CE6CEB">
        <w:rPr>
          <w:rStyle w:val="FontStyle19"/>
          <w:rFonts w:asciiTheme="minorHAnsi" w:hAnsiTheme="minorHAnsi" w:cs="Times New Roman"/>
          <w:sz w:val="24"/>
        </w:rPr>
        <w:t>Approach</w:t>
      </w:r>
      <w:proofErr w:type="spellEnd"/>
      <w:r w:rsidRPr="00CE6CEB">
        <w:rPr>
          <w:rStyle w:val="FontStyle19"/>
          <w:rFonts w:asciiTheme="minorHAnsi" w:hAnsiTheme="minorHAnsi" w:cs="Times New Roman"/>
          <w:sz w:val="24"/>
        </w:rPr>
        <w:t xml:space="preserve">./ P. E. </w:t>
      </w:r>
      <w:proofErr w:type="spellStart"/>
      <w:r w:rsidRPr="00CE6CEB">
        <w:rPr>
          <w:rStyle w:val="FontStyle19"/>
          <w:rFonts w:asciiTheme="minorHAnsi" w:hAnsiTheme="minorHAnsi" w:cs="Times New Roman"/>
          <w:sz w:val="24"/>
        </w:rPr>
        <w:t>Petersen</w:t>
      </w:r>
      <w:proofErr w:type="spellEnd"/>
      <w:r w:rsidRPr="00CE6CEB">
        <w:rPr>
          <w:rStyle w:val="FontStyle19"/>
          <w:rFonts w:asciiTheme="minorHAnsi" w:hAnsiTheme="minorHAnsi" w:cs="Times New Roman"/>
          <w:sz w:val="24"/>
        </w:rPr>
        <w:t xml:space="preserve">, H. </w:t>
      </w:r>
      <w:proofErr w:type="spellStart"/>
      <w:r w:rsidRPr="00CE6CEB">
        <w:rPr>
          <w:rStyle w:val="FontStyle19"/>
          <w:rFonts w:asciiTheme="minorHAnsi" w:hAnsiTheme="minorHAnsi" w:cs="Times New Roman"/>
          <w:sz w:val="24"/>
        </w:rPr>
        <w:t>Ogawa</w:t>
      </w:r>
      <w:proofErr w:type="spellEnd"/>
      <w:r w:rsidRPr="00CE6CEB">
        <w:rPr>
          <w:rStyle w:val="FontStyle19"/>
          <w:rFonts w:asciiTheme="minorHAnsi" w:hAnsiTheme="minorHAnsi" w:cs="Times New Roman"/>
          <w:sz w:val="24"/>
        </w:rPr>
        <w:t xml:space="preserve"> // J </w:t>
      </w:r>
      <w:proofErr w:type="spellStart"/>
      <w:r w:rsidRPr="00CE6CEB">
        <w:rPr>
          <w:rStyle w:val="FontStyle19"/>
          <w:rFonts w:asciiTheme="minorHAnsi" w:hAnsiTheme="minorHAnsi" w:cs="Times New Roman"/>
          <w:sz w:val="24"/>
        </w:rPr>
        <w:t>Periodontol</w:t>
      </w:r>
      <w:proofErr w:type="spellEnd"/>
      <w:r w:rsidRPr="00CE6CEB">
        <w:rPr>
          <w:rStyle w:val="FontStyle19"/>
          <w:rFonts w:asciiTheme="minorHAnsi" w:hAnsiTheme="minorHAnsi" w:cs="Times New Roman"/>
          <w:sz w:val="24"/>
        </w:rPr>
        <w:t>, 2005. – p. 2187-2193.</w:t>
      </w:r>
    </w:p>
    <w:p w:rsidR="008435E9" w:rsidRPr="00CE6CEB" w:rsidRDefault="008435E9" w:rsidP="008435E9">
      <w:pPr>
        <w:widowControl w:val="0"/>
        <w:numPr>
          <w:ilvl w:val="0"/>
          <w:numId w:val="1"/>
        </w:numPr>
        <w:suppressAutoHyphens/>
        <w:spacing w:before="43"/>
        <w:jc w:val="both"/>
        <w:rPr>
          <w:rStyle w:val="FontStyle19"/>
          <w:rFonts w:asciiTheme="minorHAnsi" w:hAnsiTheme="minorHAnsi" w:cs="Times New Roman"/>
          <w:sz w:val="24"/>
        </w:rPr>
      </w:pPr>
      <w:proofErr w:type="spellStart"/>
      <w:r w:rsidRPr="00CE6CEB">
        <w:rPr>
          <w:rStyle w:val="FontStyle19"/>
          <w:rFonts w:asciiTheme="minorHAnsi" w:hAnsiTheme="minorHAnsi" w:cs="Times New Roman"/>
          <w:sz w:val="24"/>
        </w:rPr>
        <w:t>Salazar</w:t>
      </w:r>
      <w:proofErr w:type="spellEnd"/>
      <w:r w:rsidRPr="00CE6CEB">
        <w:rPr>
          <w:rStyle w:val="FontStyle19"/>
          <w:rFonts w:asciiTheme="minorHAnsi" w:hAnsiTheme="minorHAnsi" w:cs="Times New Roman"/>
          <w:sz w:val="24"/>
        </w:rPr>
        <w:t xml:space="preserve"> C.R. </w:t>
      </w:r>
      <w:proofErr w:type="spellStart"/>
      <w:r w:rsidRPr="00CE6CEB">
        <w:rPr>
          <w:rStyle w:val="FontStyle19"/>
          <w:rFonts w:asciiTheme="minorHAnsi" w:hAnsiTheme="minorHAnsi" w:cs="Times New Roman"/>
          <w:sz w:val="24"/>
        </w:rPr>
        <w:t>Association</w:t>
      </w:r>
      <w:proofErr w:type="spellEnd"/>
      <w:r w:rsidRPr="00CE6CEB">
        <w:rPr>
          <w:rStyle w:val="FontStyle19"/>
          <w:rFonts w:asciiTheme="minorHAnsi" w:hAnsiTheme="minorHAnsi" w:cs="Times New Roman"/>
          <w:sz w:val="24"/>
        </w:rPr>
        <w:t xml:space="preserve"> </w:t>
      </w:r>
      <w:proofErr w:type="spellStart"/>
      <w:r w:rsidRPr="00CE6CEB">
        <w:rPr>
          <w:rStyle w:val="FontStyle19"/>
          <w:rFonts w:asciiTheme="minorHAnsi" w:hAnsiTheme="minorHAnsi" w:cs="Times New Roman"/>
          <w:sz w:val="24"/>
        </w:rPr>
        <w:t>between</w:t>
      </w:r>
      <w:proofErr w:type="spellEnd"/>
      <w:r w:rsidRPr="00CE6CEB">
        <w:rPr>
          <w:rStyle w:val="FontStyle19"/>
          <w:rFonts w:asciiTheme="minorHAnsi" w:hAnsiTheme="minorHAnsi" w:cs="Times New Roman"/>
          <w:sz w:val="24"/>
        </w:rPr>
        <w:t xml:space="preserve"> </w:t>
      </w:r>
      <w:proofErr w:type="spellStart"/>
      <w:r w:rsidRPr="00CE6CEB">
        <w:rPr>
          <w:rStyle w:val="FontStyle19"/>
          <w:rFonts w:asciiTheme="minorHAnsi" w:hAnsiTheme="minorHAnsi" w:cs="Times New Roman"/>
          <w:sz w:val="24"/>
        </w:rPr>
        <w:t>selected</w:t>
      </w:r>
      <w:proofErr w:type="spellEnd"/>
      <w:r w:rsidRPr="00CE6CEB">
        <w:rPr>
          <w:rStyle w:val="FontStyle19"/>
          <w:rFonts w:asciiTheme="minorHAnsi" w:hAnsiTheme="minorHAnsi" w:cs="Times New Roman"/>
          <w:sz w:val="24"/>
        </w:rPr>
        <w:t xml:space="preserve"> </w:t>
      </w:r>
      <w:proofErr w:type="spellStart"/>
      <w:r w:rsidRPr="00CE6CEB">
        <w:rPr>
          <w:rStyle w:val="FontStyle19"/>
          <w:rFonts w:asciiTheme="minorHAnsi" w:hAnsiTheme="minorHAnsi" w:cs="Times New Roman"/>
          <w:sz w:val="24"/>
        </w:rPr>
        <w:t>oral</w:t>
      </w:r>
      <w:proofErr w:type="spellEnd"/>
      <w:r w:rsidRPr="00CE6CEB">
        <w:rPr>
          <w:rStyle w:val="FontStyle19"/>
          <w:rFonts w:asciiTheme="minorHAnsi" w:hAnsiTheme="minorHAnsi" w:cs="Times New Roman"/>
          <w:sz w:val="24"/>
        </w:rPr>
        <w:t xml:space="preserve"> </w:t>
      </w:r>
      <w:proofErr w:type="spellStart"/>
      <w:r w:rsidRPr="00CE6CEB">
        <w:rPr>
          <w:rStyle w:val="FontStyle19"/>
          <w:rFonts w:asciiTheme="minorHAnsi" w:hAnsiTheme="minorHAnsi" w:cs="Times New Roman"/>
          <w:sz w:val="24"/>
        </w:rPr>
        <w:t>pathogens</w:t>
      </w:r>
      <w:proofErr w:type="spellEnd"/>
      <w:r w:rsidRPr="00CE6CEB">
        <w:rPr>
          <w:rStyle w:val="FontStyle19"/>
          <w:rFonts w:asciiTheme="minorHAnsi" w:hAnsiTheme="minorHAnsi" w:cs="Times New Roman"/>
          <w:sz w:val="24"/>
        </w:rPr>
        <w:t xml:space="preserve"> </w:t>
      </w:r>
      <w:proofErr w:type="spellStart"/>
      <w:r w:rsidRPr="00CE6CEB">
        <w:rPr>
          <w:rStyle w:val="FontStyle19"/>
          <w:rFonts w:asciiTheme="minorHAnsi" w:hAnsiTheme="minorHAnsi" w:cs="Times New Roman"/>
          <w:sz w:val="24"/>
        </w:rPr>
        <w:t>and</w:t>
      </w:r>
      <w:proofErr w:type="spellEnd"/>
      <w:r w:rsidRPr="00CE6CEB">
        <w:rPr>
          <w:rStyle w:val="FontStyle19"/>
          <w:rFonts w:asciiTheme="minorHAnsi" w:hAnsiTheme="minorHAnsi" w:cs="Times New Roman"/>
          <w:sz w:val="24"/>
        </w:rPr>
        <w:t xml:space="preserve"> </w:t>
      </w:r>
      <w:proofErr w:type="spellStart"/>
      <w:r w:rsidRPr="00CE6CEB">
        <w:rPr>
          <w:rStyle w:val="FontStyle19"/>
          <w:rFonts w:asciiTheme="minorHAnsi" w:hAnsiTheme="minorHAnsi" w:cs="Times New Roman"/>
          <w:sz w:val="24"/>
        </w:rPr>
        <w:t>gastric</w:t>
      </w:r>
      <w:proofErr w:type="spellEnd"/>
      <w:r w:rsidRPr="00CE6CEB">
        <w:rPr>
          <w:rStyle w:val="FontStyle19"/>
          <w:rFonts w:asciiTheme="minorHAnsi" w:hAnsiTheme="minorHAnsi" w:cs="Times New Roman"/>
          <w:sz w:val="24"/>
        </w:rPr>
        <w:t xml:space="preserve"> </w:t>
      </w:r>
      <w:proofErr w:type="spellStart"/>
      <w:r w:rsidRPr="00CE6CEB">
        <w:rPr>
          <w:rStyle w:val="FontStyle19"/>
          <w:rFonts w:asciiTheme="minorHAnsi" w:hAnsiTheme="minorHAnsi" w:cs="Times New Roman"/>
          <w:sz w:val="24"/>
        </w:rPr>
        <w:t>precancerous</w:t>
      </w:r>
      <w:proofErr w:type="spellEnd"/>
      <w:r w:rsidRPr="00CE6CEB">
        <w:rPr>
          <w:rStyle w:val="FontStyle19"/>
          <w:rFonts w:asciiTheme="minorHAnsi" w:hAnsiTheme="minorHAnsi" w:cs="Times New Roman"/>
          <w:sz w:val="24"/>
        </w:rPr>
        <w:t xml:space="preserve"> </w:t>
      </w:r>
      <w:proofErr w:type="spellStart"/>
      <w:r w:rsidRPr="00CE6CEB">
        <w:rPr>
          <w:rStyle w:val="FontStyle19"/>
          <w:rFonts w:asciiTheme="minorHAnsi" w:hAnsiTheme="minorHAnsi" w:cs="Times New Roman"/>
          <w:sz w:val="24"/>
        </w:rPr>
        <w:t>lesions</w:t>
      </w:r>
      <w:proofErr w:type="spellEnd"/>
      <w:r w:rsidRPr="00CE6CEB">
        <w:rPr>
          <w:rStyle w:val="FontStyle19"/>
          <w:rFonts w:asciiTheme="minorHAnsi" w:hAnsiTheme="minorHAnsi" w:cs="Times New Roman"/>
          <w:sz w:val="24"/>
        </w:rPr>
        <w:t xml:space="preserve"> /  </w:t>
      </w:r>
      <w:proofErr w:type="spellStart"/>
      <w:r w:rsidRPr="00CE6CEB">
        <w:rPr>
          <w:rStyle w:val="FontStyle19"/>
          <w:rFonts w:asciiTheme="minorHAnsi" w:hAnsiTheme="minorHAnsi" w:cs="Times New Roman"/>
          <w:sz w:val="24"/>
        </w:rPr>
        <w:t>Salazar</w:t>
      </w:r>
      <w:proofErr w:type="spellEnd"/>
      <w:r w:rsidRPr="00CE6CEB">
        <w:rPr>
          <w:rStyle w:val="FontStyle19"/>
          <w:rFonts w:asciiTheme="minorHAnsi" w:hAnsiTheme="minorHAnsi" w:cs="Times New Roman"/>
          <w:sz w:val="24"/>
        </w:rPr>
        <w:t xml:space="preserve"> C.R., </w:t>
      </w:r>
      <w:proofErr w:type="spellStart"/>
      <w:r w:rsidRPr="00CE6CEB">
        <w:rPr>
          <w:rStyle w:val="FontStyle19"/>
          <w:rFonts w:asciiTheme="minorHAnsi" w:hAnsiTheme="minorHAnsi" w:cs="Times New Roman"/>
          <w:sz w:val="24"/>
        </w:rPr>
        <w:t>Sun</w:t>
      </w:r>
      <w:proofErr w:type="spellEnd"/>
      <w:r w:rsidRPr="00CE6CEB">
        <w:rPr>
          <w:rStyle w:val="FontStyle19"/>
          <w:rFonts w:asciiTheme="minorHAnsi" w:hAnsiTheme="minorHAnsi" w:cs="Times New Roman"/>
          <w:sz w:val="24"/>
        </w:rPr>
        <w:t xml:space="preserve"> J., </w:t>
      </w:r>
      <w:proofErr w:type="spellStart"/>
      <w:r w:rsidRPr="00CE6CEB">
        <w:rPr>
          <w:rStyle w:val="FontStyle19"/>
          <w:rFonts w:asciiTheme="minorHAnsi" w:hAnsiTheme="minorHAnsi" w:cs="Times New Roman"/>
          <w:sz w:val="24"/>
        </w:rPr>
        <w:t>Li</w:t>
      </w:r>
      <w:proofErr w:type="spellEnd"/>
      <w:r w:rsidRPr="00CE6CEB">
        <w:rPr>
          <w:rStyle w:val="FontStyle19"/>
          <w:rFonts w:asciiTheme="minorHAnsi" w:hAnsiTheme="minorHAnsi" w:cs="Times New Roman"/>
          <w:sz w:val="24"/>
        </w:rPr>
        <w:t xml:space="preserve"> Y., </w:t>
      </w:r>
      <w:proofErr w:type="spellStart"/>
      <w:r w:rsidRPr="00CE6CEB">
        <w:rPr>
          <w:rStyle w:val="FontStyle19"/>
          <w:rFonts w:asciiTheme="minorHAnsi" w:hAnsiTheme="minorHAnsi" w:cs="Times New Roman"/>
          <w:sz w:val="24"/>
        </w:rPr>
        <w:t>Francois</w:t>
      </w:r>
      <w:proofErr w:type="spellEnd"/>
      <w:r w:rsidRPr="00CE6CEB">
        <w:rPr>
          <w:rStyle w:val="FontStyle19"/>
          <w:rFonts w:asciiTheme="minorHAnsi" w:hAnsiTheme="minorHAnsi" w:cs="Times New Roman"/>
          <w:sz w:val="24"/>
        </w:rPr>
        <w:t xml:space="preserve"> F., </w:t>
      </w:r>
      <w:proofErr w:type="spellStart"/>
      <w:r w:rsidRPr="00CE6CEB">
        <w:rPr>
          <w:rStyle w:val="FontStyle19"/>
          <w:rFonts w:asciiTheme="minorHAnsi" w:hAnsiTheme="minorHAnsi" w:cs="Times New Roman"/>
          <w:sz w:val="24"/>
        </w:rPr>
        <w:t>Corby</w:t>
      </w:r>
      <w:proofErr w:type="spellEnd"/>
      <w:r w:rsidRPr="00CE6CEB">
        <w:rPr>
          <w:rStyle w:val="FontStyle19"/>
          <w:rFonts w:asciiTheme="minorHAnsi" w:hAnsiTheme="minorHAnsi" w:cs="Times New Roman"/>
          <w:sz w:val="24"/>
        </w:rPr>
        <w:t xml:space="preserve"> P., </w:t>
      </w:r>
      <w:proofErr w:type="spellStart"/>
      <w:r w:rsidRPr="00CE6CEB">
        <w:rPr>
          <w:rStyle w:val="FontStyle19"/>
          <w:rFonts w:asciiTheme="minorHAnsi" w:hAnsiTheme="minorHAnsi" w:cs="Times New Roman"/>
          <w:sz w:val="24"/>
        </w:rPr>
        <w:t>Perez-Perez</w:t>
      </w:r>
      <w:proofErr w:type="spellEnd"/>
      <w:r w:rsidRPr="00CE6CEB">
        <w:rPr>
          <w:rStyle w:val="FontStyle19"/>
          <w:rFonts w:asciiTheme="minorHAnsi" w:hAnsiTheme="minorHAnsi" w:cs="Times New Roman"/>
          <w:sz w:val="24"/>
        </w:rPr>
        <w:t xml:space="preserve"> G., </w:t>
      </w:r>
      <w:proofErr w:type="spellStart"/>
      <w:r w:rsidRPr="00CE6CEB">
        <w:rPr>
          <w:rStyle w:val="FontStyle19"/>
          <w:rFonts w:asciiTheme="minorHAnsi" w:hAnsiTheme="minorHAnsi" w:cs="Times New Roman"/>
          <w:sz w:val="24"/>
        </w:rPr>
        <w:t>Dasanayake</w:t>
      </w:r>
      <w:proofErr w:type="spellEnd"/>
      <w:r w:rsidRPr="00CE6CEB">
        <w:rPr>
          <w:rStyle w:val="FontStyle19"/>
          <w:rFonts w:asciiTheme="minorHAnsi" w:hAnsiTheme="minorHAnsi" w:cs="Times New Roman"/>
          <w:sz w:val="24"/>
        </w:rPr>
        <w:t xml:space="preserve"> A., </w:t>
      </w:r>
      <w:proofErr w:type="spellStart"/>
      <w:r w:rsidRPr="00CE6CEB">
        <w:rPr>
          <w:rStyle w:val="FontStyle19"/>
          <w:rFonts w:asciiTheme="minorHAnsi" w:hAnsiTheme="minorHAnsi" w:cs="Times New Roman"/>
          <w:sz w:val="24"/>
        </w:rPr>
        <w:t>Pei</w:t>
      </w:r>
      <w:proofErr w:type="spellEnd"/>
      <w:r w:rsidRPr="00CE6CEB">
        <w:rPr>
          <w:rStyle w:val="FontStyle19"/>
          <w:rFonts w:asciiTheme="minorHAnsi" w:hAnsiTheme="minorHAnsi" w:cs="Times New Roman"/>
          <w:sz w:val="24"/>
        </w:rPr>
        <w:t xml:space="preserve"> Z., </w:t>
      </w:r>
      <w:proofErr w:type="spellStart"/>
      <w:r w:rsidRPr="00CE6CEB">
        <w:rPr>
          <w:rStyle w:val="FontStyle19"/>
          <w:rFonts w:asciiTheme="minorHAnsi" w:hAnsiTheme="minorHAnsi" w:cs="Times New Roman"/>
          <w:sz w:val="24"/>
        </w:rPr>
        <w:t>Chen</w:t>
      </w:r>
      <w:proofErr w:type="spellEnd"/>
      <w:r w:rsidRPr="00CE6CEB">
        <w:rPr>
          <w:rStyle w:val="FontStyle19"/>
          <w:rFonts w:asciiTheme="minorHAnsi" w:hAnsiTheme="minorHAnsi" w:cs="Times New Roman"/>
          <w:sz w:val="24"/>
        </w:rPr>
        <w:t xml:space="preserve"> Y. // </w:t>
      </w:r>
      <w:proofErr w:type="spellStart"/>
      <w:r w:rsidRPr="00CE6CEB">
        <w:rPr>
          <w:rStyle w:val="FontStyle19"/>
          <w:rFonts w:asciiTheme="minorHAnsi" w:hAnsiTheme="minorHAnsi" w:cs="Times New Roman"/>
          <w:sz w:val="24"/>
        </w:rPr>
        <w:t>PLoS</w:t>
      </w:r>
      <w:proofErr w:type="spellEnd"/>
      <w:r w:rsidRPr="00CE6CEB">
        <w:rPr>
          <w:rStyle w:val="FontStyle19"/>
          <w:rFonts w:asciiTheme="minorHAnsi" w:hAnsiTheme="minorHAnsi" w:cs="Times New Roman"/>
          <w:sz w:val="24"/>
        </w:rPr>
        <w:t xml:space="preserve"> </w:t>
      </w:r>
      <w:proofErr w:type="spellStart"/>
      <w:r w:rsidRPr="00CE6CEB">
        <w:rPr>
          <w:rStyle w:val="FontStyle19"/>
          <w:rFonts w:asciiTheme="minorHAnsi" w:hAnsiTheme="minorHAnsi" w:cs="Times New Roman"/>
          <w:sz w:val="24"/>
        </w:rPr>
        <w:t>One</w:t>
      </w:r>
      <w:proofErr w:type="spellEnd"/>
      <w:r w:rsidRPr="00CE6CEB">
        <w:rPr>
          <w:rStyle w:val="FontStyle19"/>
          <w:rFonts w:asciiTheme="minorHAnsi" w:hAnsiTheme="minorHAnsi" w:cs="Times New Roman"/>
          <w:sz w:val="24"/>
        </w:rPr>
        <w:t xml:space="preserve">. –2013;8(1):e51604.  </w:t>
      </w:r>
    </w:p>
    <w:p w:rsidR="008435E9" w:rsidRPr="00CE6CEB" w:rsidRDefault="008435E9" w:rsidP="008435E9">
      <w:pPr>
        <w:widowControl w:val="0"/>
        <w:numPr>
          <w:ilvl w:val="0"/>
          <w:numId w:val="1"/>
        </w:numPr>
        <w:suppressAutoHyphens/>
        <w:spacing w:before="43"/>
        <w:jc w:val="both"/>
        <w:rPr>
          <w:rStyle w:val="FontStyle19"/>
          <w:rFonts w:asciiTheme="minorHAnsi" w:hAnsiTheme="minorHAnsi" w:cs="Times New Roman"/>
          <w:sz w:val="24"/>
        </w:rPr>
      </w:pPr>
      <w:proofErr w:type="spellStart"/>
      <w:r w:rsidRPr="00CE6CEB">
        <w:rPr>
          <w:rStyle w:val="FontStyle19"/>
          <w:rFonts w:asciiTheme="minorHAnsi" w:hAnsiTheme="minorHAnsi" w:cs="Times New Roman"/>
          <w:sz w:val="24"/>
        </w:rPr>
        <w:t>Singhal</w:t>
      </w:r>
      <w:proofErr w:type="spellEnd"/>
      <w:r w:rsidRPr="00CE6CEB">
        <w:rPr>
          <w:rStyle w:val="FontStyle19"/>
          <w:rFonts w:asciiTheme="minorHAnsi" w:hAnsiTheme="minorHAnsi" w:cs="Times New Roman"/>
          <w:sz w:val="24"/>
        </w:rPr>
        <w:t xml:space="preserve"> S. </w:t>
      </w:r>
      <w:proofErr w:type="spellStart"/>
      <w:r w:rsidRPr="00CE6CEB">
        <w:rPr>
          <w:rStyle w:val="FontStyle19"/>
          <w:rFonts w:asciiTheme="minorHAnsi" w:hAnsiTheme="minorHAnsi" w:cs="Times New Roman"/>
          <w:sz w:val="24"/>
        </w:rPr>
        <w:t>The</w:t>
      </w:r>
      <w:proofErr w:type="spellEnd"/>
      <w:r w:rsidRPr="00CE6CEB">
        <w:rPr>
          <w:rStyle w:val="FontStyle19"/>
          <w:rFonts w:asciiTheme="minorHAnsi" w:hAnsiTheme="minorHAnsi" w:cs="Times New Roman"/>
          <w:sz w:val="24"/>
        </w:rPr>
        <w:t xml:space="preserve"> </w:t>
      </w:r>
      <w:proofErr w:type="spellStart"/>
      <w:r w:rsidRPr="00CE6CEB">
        <w:rPr>
          <w:rStyle w:val="FontStyle19"/>
          <w:rFonts w:asciiTheme="minorHAnsi" w:hAnsiTheme="minorHAnsi" w:cs="Times New Roman"/>
          <w:sz w:val="24"/>
        </w:rPr>
        <w:t>role</w:t>
      </w:r>
      <w:proofErr w:type="spellEnd"/>
      <w:r w:rsidRPr="00CE6CEB">
        <w:rPr>
          <w:rStyle w:val="FontStyle19"/>
          <w:rFonts w:asciiTheme="minorHAnsi" w:hAnsiTheme="minorHAnsi" w:cs="Times New Roman"/>
          <w:sz w:val="24"/>
        </w:rPr>
        <w:t xml:space="preserve"> </w:t>
      </w:r>
      <w:proofErr w:type="spellStart"/>
      <w:r w:rsidRPr="00CE6CEB">
        <w:rPr>
          <w:rStyle w:val="FontStyle19"/>
          <w:rFonts w:asciiTheme="minorHAnsi" w:hAnsiTheme="minorHAnsi" w:cs="Times New Roman"/>
          <w:sz w:val="24"/>
        </w:rPr>
        <w:t>of</w:t>
      </w:r>
      <w:proofErr w:type="spellEnd"/>
      <w:r w:rsidRPr="00CE6CEB">
        <w:rPr>
          <w:rStyle w:val="FontStyle19"/>
          <w:rFonts w:asciiTheme="minorHAnsi" w:hAnsiTheme="minorHAnsi" w:cs="Times New Roman"/>
          <w:sz w:val="24"/>
        </w:rPr>
        <w:t xml:space="preserve"> </w:t>
      </w:r>
      <w:proofErr w:type="spellStart"/>
      <w:r w:rsidRPr="00CE6CEB">
        <w:rPr>
          <w:rStyle w:val="FontStyle19"/>
          <w:rFonts w:asciiTheme="minorHAnsi" w:hAnsiTheme="minorHAnsi" w:cs="Times New Roman"/>
          <w:sz w:val="24"/>
        </w:rPr>
        <w:t>oral</w:t>
      </w:r>
      <w:proofErr w:type="spellEnd"/>
      <w:r w:rsidRPr="00CE6CEB">
        <w:rPr>
          <w:rStyle w:val="FontStyle19"/>
          <w:rFonts w:asciiTheme="minorHAnsi" w:hAnsiTheme="minorHAnsi" w:cs="Times New Roman"/>
          <w:sz w:val="24"/>
        </w:rPr>
        <w:t xml:space="preserve"> </w:t>
      </w:r>
      <w:proofErr w:type="spellStart"/>
      <w:r w:rsidRPr="00CE6CEB">
        <w:rPr>
          <w:rStyle w:val="FontStyle19"/>
          <w:rFonts w:asciiTheme="minorHAnsi" w:hAnsiTheme="minorHAnsi" w:cs="Times New Roman"/>
          <w:sz w:val="24"/>
        </w:rPr>
        <w:t>hygiene</w:t>
      </w:r>
      <w:proofErr w:type="spellEnd"/>
      <w:r w:rsidRPr="00CE6CEB">
        <w:rPr>
          <w:rStyle w:val="FontStyle19"/>
          <w:rFonts w:asciiTheme="minorHAnsi" w:hAnsiTheme="minorHAnsi" w:cs="Times New Roman"/>
          <w:sz w:val="24"/>
        </w:rPr>
        <w:t xml:space="preserve"> </w:t>
      </w:r>
      <w:proofErr w:type="spellStart"/>
      <w:r w:rsidRPr="00CE6CEB">
        <w:rPr>
          <w:rStyle w:val="FontStyle19"/>
          <w:rFonts w:asciiTheme="minorHAnsi" w:hAnsiTheme="minorHAnsi" w:cs="Times New Roman"/>
          <w:sz w:val="24"/>
        </w:rPr>
        <w:t>in</w:t>
      </w:r>
      <w:proofErr w:type="spellEnd"/>
      <w:r w:rsidRPr="00CE6CEB">
        <w:rPr>
          <w:rStyle w:val="FontStyle19"/>
          <w:rFonts w:asciiTheme="minorHAnsi" w:hAnsiTheme="minorHAnsi" w:cs="Times New Roman"/>
          <w:sz w:val="24"/>
        </w:rPr>
        <w:t xml:space="preserve"> </w:t>
      </w:r>
      <w:proofErr w:type="spellStart"/>
      <w:r w:rsidRPr="00CE6CEB">
        <w:rPr>
          <w:rStyle w:val="FontStyle19"/>
          <w:rFonts w:asciiTheme="minorHAnsi" w:hAnsiTheme="minorHAnsi" w:cs="Times New Roman"/>
          <w:sz w:val="24"/>
        </w:rPr>
        <w:t>inflammatory</w:t>
      </w:r>
      <w:proofErr w:type="spellEnd"/>
      <w:r w:rsidRPr="00CE6CEB">
        <w:rPr>
          <w:rStyle w:val="FontStyle19"/>
          <w:rFonts w:asciiTheme="minorHAnsi" w:hAnsiTheme="minorHAnsi" w:cs="Times New Roman"/>
          <w:sz w:val="24"/>
        </w:rPr>
        <w:t xml:space="preserve"> </w:t>
      </w:r>
      <w:proofErr w:type="spellStart"/>
      <w:r w:rsidRPr="00CE6CEB">
        <w:rPr>
          <w:rStyle w:val="FontStyle19"/>
          <w:rFonts w:asciiTheme="minorHAnsi" w:hAnsiTheme="minorHAnsi" w:cs="Times New Roman"/>
          <w:sz w:val="24"/>
        </w:rPr>
        <w:t>bowel</w:t>
      </w:r>
      <w:proofErr w:type="spellEnd"/>
      <w:r w:rsidRPr="00CE6CEB">
        <w:rPr>
          <w:rStyle w:val="FontStyle19"/>
          <w:rFonts w:asciiTheme="minorHAnsi" w:hAnsiTheme="minorHAnsi" w:cs="Times New Roman"/>
          <w:sz w:val="24"/>
        </w:rPr>
        <w:t xml:space="preserve"> </w:t>
      </w:r>
      <w:proofErr w:type="spellStart"/>
      <w:r w:rsidRPr="00CE6CEB">
        <w:rPr>
          <w:rStyle w:val="FontStyle19"/>
          <w:rFonts w:asciiTheme="minorHAnsi" w:hAnsiTheme="minorHAnsi" w:cs="Times New Roman"/>
          <w:sz w:val="24"/>
        </w:rPr>
        <w:t>disease</w:t>
      </w:r>
      <w:proofErr w:type="spellEnd"/>
      <w:r w:rsidRPr="00CE6CEB">
        <w:rPr>
          <w:rStyle w:val="FontStyle19"/>
          <w:rFonts w:asciiTheme="minorHAnsi" w:hAnsiTheme="minorHAnsi" w:cs="Times New Roman"/>
          <w:sz w:val="24"/>
        </w:rPr>
        <w:t xml:space="preserve">. /  </w:t>
      </w:r>
      <w:proofErr w:type="spellStart"/>
      <w:r w:rsidRPr="00CE6CEB">
        <w:rPr>
          <w:rStyle w:val="FontStyle19"/>
          <w:rFonts w:asciiTheme="minorHAnsi" w:hAnsiTheme="minorHAnsi" w:cs="Times New Roman"/>
          <w:sz w:val="24"/>
        </w:rPr>
        <w:t>Singhal</w:t>
      </w:r>
      <w:proofErr w:type="spellEnd"/>
      <w:r w:rsidRPr="00CE6CEB">
        <w:rPr>
          <w:rStyle w:val="FontStyle19"/>
          <w:rFonts w:asciiTheme="minorHAnsi" w:hAnsiTheme="minorHAnsi" w:cs="Times New Roman"/>
          <w:sz w:val="24"/>
        </w:rPr>
        <w:t xml:space="preserve"> S. </w:t>
      </w:r>
      <w:proofErr w:type="spellStart"/>
      <w:r w:rsidRPr="00CE6CEB">
        <w:rPr>
          <w:rStyle w:val="FontStyle19"/>
          <w:rFonts w:asciiTheme="minorHAnsi" w:hAnsiTheme="minorHAnsi" w:cs="Times New Roman"/>
          <w:sz w:val="24"/>
        </w:rPr>
        <w:t>Dian</w:t>
      </w:r>
      <w:proofErr w:type="spellEnd"/>
      <w:r w:rsidRPr="00CE6CEB">
        <w:rPr>
          <w:rStyle w:val="FontStyle19"/>
          <w:rFonts w:asciiTheme="minorHAnsi" w:hAnsiTheme="minorHAnsi" w:cs="Times New Roman"/>
          <w:sz w:val="24"/>
        </w:rPr>
        <w:t xml:space="preserve"> D, </w:t>
      </w:r>
      <w:proofErr w:type="spellStart"/>
      <w:r w:rsidRPr="00CE6CEB">
        <w:rPr>
          <w:rStyle w:val="FontStyle19"/>
          <w:rFonts w:asciiTheme="minorHAnsi" w:hAnsiTheme="minorHAnsi" w:cs="Times New Roman"/>
          <w:sz w:val="24"/>
        </w:rPr>
        <w:t>Keshavarzian</w:t>
      </w:r>
      <w:proofErr w:type="spellEnd"/>
      <w:r w:rsidRPr="00CE6CEB">
        <w:rPr>
          <w:rStyle w:val="FontStyle19"/>
          <w:rFonts w:asciiTheme="minorHAnsi" w:hAnsiTheme="minorHAnsi" w:cs="Times New Roman"/>
          <w:sz w:val="24"/>
        </w:rPr>
        <w:t xml:space="preserve"> A, </w:t>
      </w:r>
      <w:proofErr w:type="spellStart"/>
      <w:r w:rsidRPr="00CE6CEB">
        <w:rPr>
          <w:rStyle w:val="FontStyle19"/>
          <w:rFonts w:asciiTheme="minorHAnsi" w:hAnsiTheme="minorHAnsi" w:cs="Times New Roman"/>
          <w:sz w:val="24"/>
        </w:rPr>
        <w:t>Fogg</w:t>
      </w:r>
      <w:proofErr w:type="spellEnd"/>
      <w:r w:rsidRPr="00CE6CEB">
        <w:rPr>
          <w:rStyle w:val="FontStyle19"/>
          <w:rFonts w:asciiTheme="minorHAnsi" w:hAnsiTheme="minorHAnsi" w:cs="Times New Roman"/>
          <w:sz w:val="24"/>
        </w:rPr>
        <w:t xml:space="preserve"> L, </w:t>
      </w:r>
      <w:proofErr w:type="spellStart"/>
      <w:r w:rsidRPr="00CE6CEB">
        <w:rPr>
          <w:rStyle w:val="FontStyle19"/>
          <w:rFonts w:asciiTheme="minorHAnsi" w:hAnsiTheme="minorHAnsi" w:cs="Times New Roman"/>
          <w:sz w:val="24"/>
        </w:rPr>
        <w:t>Fields</w:t>
      </w:r>
      <w:proofErr w:type="spellEnd"/>
      <w:r w:rsidRPr="00CE6CEB">
        <w:rPr>
          <w:rStyle w:val="FontStyle19"/>
          <w:rFonts w:asciiTheme="minorHAnsi" w:hAnsiTheme="minorHAnsi" w:cs="Times New Roman"/>
          <w:sz w:val="24"/>
        </w:rPr>
        <w:t xml:space="preserve"> JZ, </w:t>
      </w:r>
      <w:proofErr w:type="spellStart"/>
      <w:r w:rsidRPr="00CE6CEB">
        <w:rPr>
          <w:rStyle w:val="FontStyle19"/>
          <w:rFonts w:asciiTheme="minorHAnsi" w:hAnsiTheme="minorHAnsi" w:cs="Times New Roman"/>
          <w:sz w:val="24"/>
        </w:rPr>
        <w:t>Farhadi</w:t>
      </w:r>
      <w:proofErr w:type="spellEnd"/>
      <w:r w:rsidRPr="00CE6CEB">
        <w:rPr>
          <w:rStyle w:val="FontStyle19"/>
          <w:rFonts w:asciiTheme="minorHAnsi" w:hAnsiTheme="minorHAnsi" w:cs="Times New Roman"/>
          <w:sz w:val="24"/>
        </w:rPr>
        <w:t xml:space="preserve"> A. </w:t>
      </w:r>
      <w:proofErr w:type="spellStart"/>
      <w:r w:rsidRPr="00CE6CEB">
        <w:rPr>
          <w:rStyle w:val="FontStyle19"/>
          <w:rFonts w:asciiTheme="minorHAnsi" w:hAnsiTheme="minorHAnsi" w:cs="Times New Roman"/>
          <w:sz w:val="24"/>
        </w:rPr>
        <w:t>Dig</w:t>
      </w:r>
      <w:proofErr w:type="spellEnd"/>
      <w:r w:rsidRPr="00CE6CEB">
        <w:rPr>
          <w:rStyle w:val="FontStyle19"/>
          <w:rFonts w:asciiTheme="minorHAnsi" w:hAnsiTheme="minorHAnsi" w:cs="Times New Roman"/>
          <w:sz w:val="24"/>
        </w:rPr>
        <w:t xml:space="preserve">.// </w:t>
      </w:r>
      <w:proofErr w:type="spellStart"/>
      <w:r w:rsidRPr="00CE6CEB">
        <w:rPr>
          <w:rStyle w:val="FontStyle19"/>
          <w:rFonts w:asciiTheme="minorHAnsi" w:hAnsiTheme="minorHAnsi" w:cs="Times New Roman"/>
          <w:sz w:val="24"/>
        </w:rPr>
        <w:t>Dis</w:t>
      </w:r>
      <w:proofErr w:type="spellEnd"/>
      <w:r w:rsidRPr="00CE6CEB">
        <w:rPr>
          <w:rStyle w:val="FontStyle19"/>
          <w:rFonts w:asciiTheme="minorHAnsi" w:hAnsiTheme="minorHAnsi" w:cs="Times New Roman"/>
          <w:sz w:val="24"/>
        </w:rPr>
        <w:t xml:space="preserve"> </w:t>
      </w:r>
      <w:proofErr w:type="spellStart"/>
      <w:r w:rsidRPr="00CE6CEB">
        <w:rPr>
          <w:rStyle w:val="FontStyle19"/>
          <w:rFonts w:asciiTheme="minorHAnsi" w:hAnsiTheme="minorHAnsi" w:cs="Times New Roman"/>
          <w:sz w:val="24"/>
        </w:rPr>
        <w:t>Sci</w:t>
      </w:r>
      <w:proofErr w:type="spellEnd"/>
      <w:r w:rsidRPr="00CE6CEB">
        <w:rPr>
          <w:rStyle w:val="FontStyle19"/>
          <w:rFonts w:asciiTheme="minorHAnsi" w:hAnsiTheme="minorHAnsi" w:cs="Times New Roman"/>
          <w:sz w:val="24"/>
        </w:rPr>
        <w:t>. – 2011 Jan;56(1):170 - 5.</w:t>
      </w:r>
    </w:p>
    <w:p w:rsidR="00C830BA" w:rsidRPr="001C1276" w:rsidRDefault="008435E9" w:rsidP="001C1276">
      <w:pPr>
        <w:widowControl w:val="0"/>
        <w:numPr>
          <w:ilvl w:val="0"/>
          <w:numId w:val="1"/>
        </w:numPr>
        <w:suppressAutoHyphens/>
        <w:spacing w:before="43"/>
        <w:jc w:val="both"/>
        <w:rPr>
          <w:rFonts w:cs="Times New Roman"/>
        </w:rPr>
      </w:pPr>
      <w:proofErr w:type="spellStart"/>
      <w:r w:rsidRPr="00CE6CEB">
        <w:rPr>
          <w:rStyle w:val="FontStyle19"/>
          <w:rFonts w:asciiTheme="minorHAnsi" w:hAnsiTheme="minorHAnsi" w:cs="Times New Roman"/>
          <w:sz w:val="24"/>
        </w:rPr>
        <w:t>Vavricka</w:t>
      </w:r>
      <w:proofErr w:type="spellEnd"/>
      <w:r w:rsidRPr="00CE6CEB">
        <w:rPr>
          <w:rStyle w:val="FontStyle19"/>
          <w:rFonts w:asciiTheme="minorHAnsi" w:hAnsiTheme="minorHAnsi" w:cs="Times New Roman"/>
          <w:sz w:val="24"/>
        </w:rPr>
        <w:t xml:space="preserve"> SR. </w:t>
      </w:r>
      <w:proofErr w:type="spellStart"/>
      <w:r w:rsidRPr="00CE6CEB">
        <w:rPr>
          <w:rStyle w:val="FontStyle19"/>
          <w:rFonts w:asciiTheme="minorHAnsi" w:hAnsiTheme="minorHAnsi" w:cs="Times New Roman"/>
          <w:sz w:val="24"/>
        </w:rPr>
        <w:t>Periodontitis</w:t>
      </w:r>
      <w:proofErr w:type="spellEnd"/>
      <w:r w:rsidRPr="00CE6CEB">
        <w:rPr>
          <w:rStyle w:val="FontStyle19"/>
          <w:rFonts w:asciiTheme="minorHAnsi" w:hAnsiTheme="minorHAnsi" w:cs="Times New Roman"/>
          <w:sz w:val="24"/>
        </w:rPr>
        <w:t xml:space="preserve"> </w:t>
      </w:r>
      <w:proofErr w:type="spellStart"/>
      <w:r w:rsidRPr="00CE6CEB">
        <w:rPr>
          <w:rStyle w:val="FontStyle19"/>
          <w:rFonts w:asciiTheme="minorHAnsi" w:hAnsiTheme="minorHAnsi" w:cs="Times New Roman"/>
          <w:sz w:val="24"/>
        </w:rPr>
        <w:t>and</w:t>
      </w:r>
      <w:proofErr w:type="spellEnd"/>
      <w:r w:rsidRPr="00CE6CEB">
        <w:rPr>
          <w:rStyle w:val="FontStyle19"/>
          <w:rFonts w:asciiTheme="minorHAnsi" w:hAnsiTheme="minorHAnsi" w:cs="Times New Roman"/>
          <w:sz w:val="24"/>
        </w:rPr>
        <w:t xml:space="preserve"> </w:t>
      </w:r>
      <w:proofErr w:type="spellStart"/>
      <w:r w:rsidRPr="00CE6CEB">
        <w:rPr>
          <w:rStyle w:val="FontStyle19"/>
          <w:rFonts w:asciiTheme="minorHAnsi" w:hAnsiTheme="minorHAnsi" w:cs="Times New Roman"/>
          <w:sz w:val="24"/>
        </w:rPr>
        <w:t>gingivitis</w:t>
      </w:r>
      <w:proofErr w:type="spellEnd"/>
      <w:r w:rsidRPr="00CE6CEB">
        <w:rPr>
          <w:rStyle w:val="FontStyle19"/>
          <w:rFonts w:asciiTheme="minorHAnsi" w:hAnsiTheme="minorHAnsi" w:cs="Times New Roman"/>
          <w:sz w:val="24"/>
        </w:rPr>
        <w:t xml:space="preserve"> </w:t>
      </w:r>
      <w:proofErr w:type="spellStart"/>
      <w:r w:rsidRPr="00CE6CEB">
        <w:rPr>
          <w:rStyle w:val="FontStyle19"/>
          <w:rFonts w:asciiTheme="minorHAnsi" w:hAnsiTheme="minorHAnsi" w:cs="Times New Roman"/>
          <w:sz w:val="24"/>
        </w:rPr>
        <w:t>in</w:t>
      </w:r>
      <w:proofErr w:type="spellEnd"/>
      <w:r w:rsidRPr="00CE6CEB">
        <w:rPr>
          <w:rStyle w:val="FontStyle19"/>
          <w:rFonts w:asciiTheme="minorHAnsi" w:hAnsiTheme="minorHAnsi" w:cs="Times New Roman"/>
          <w:sz w:val="24"/>
        </w:rPr>
        <w:t xml:space="preserve"> </w:t>
      </w:r>
      <w:proofErr w:type="spellStart"/>
      <w:r w:rsidRPr="00CE6CEB">
        <w:rPr>
          <w:rStyle w:val="FontStyle19"/>
          <w:rFonts w:asciiTheme="minorHAnsi" w:hAnsiTheme="minorHAnsi" w:cs="Times New Roman"/>
          <w:sz w:val="24"/>
        </w:rPr>
        <w:t>inflammatory</w:t>
      </w:r>
      <w:proofErr w:type="spellEnd"/>
      <w:r w:rsidRPr="00CE6CEB">
        <w:rPr>
          <w:rStyle w:val="FontStyle19"/>
          <w:rFonts w:asciiTheme="minorHAnsi" w:hAnsiTheme="minorHAnsi" w:cs="Times New Roman"/>
          <w:sz w:val="24"/>
        </w:rPr>
        <w:t xml:space="preserve"> </w:t>
      </w:r>
      <w:proofErr w:type="spellStart"/>
      <w:r w:rsidRPr="00CE6CEB">
        <w:rPr>
          <w:rStyle w:val="FontStyle19"/>
          <w:rFonts w:asciiTheme="minorHAnsi" w:hAnsiTheme="minorHAnsi" w:cs="Times New Roman"/>
          <w:sz w:val="24"/>
        </w:rPr>
        <w:t>bowel</w:t>
      </w:r>
      <w:proofErr w:type="spellEnd"/>
      <w:r w:rsidRPr="00CE6CEB">
        <w:rPr>
          <w:rStyle w:val="FontStyle19"/>
          <w:rFonts w:asciiTheme="minorHAnsi" w:hAnsiTheme="minorHAnsi" w:cs="Times New Roman"/>
          <w:sz w:val="24"/>
        </w:rPr>
        <w:t xml:space="preserve"> </w:t>
      </w:r>
      <w:proofErr w:type="spellStart"/>
      <w:r w:rsidRPr="00CE6CEB">
        <w:rPr>
          <w:rStyle w:val="FontStyle19"/>
          <w:rFonts w:asciiTheme="minorHAnsi" w:hAnsiTheme="minorHAnsi" w:cs="Times New Roman"/>
          <w:sz w:val="24"/>
        </w:rPr>
        <w:t>disease</w:t>
      </w:r>
      <w:proofErr w:type="spellEnd"/>
      <w:r w:rsidRPr="00CE6CEB">
        <w:rPr>
          <w:rStyle w:val="FontStyle19"/>
          <w:rFonts w:asciiTheme="minorHAnsi" w:hAnsiTheme="minorHAnsi" w:cs="Times New Roman"/>
          <w:sz w:val="24"/>
        </w:rPr>
        <w:t xml:space="preserve">: a </w:t>
      </w:r>
      <w:proofErr w:type="spellStart"/>
      <w:r w:rsidRPr="00CE6CEB">
        <w:rPr>
          <w:rStyle w:val="FontStyle19"/>
          <w:rFonts w:asciiTheme="minorHAnsi" w:hAnsiTheme="minorHAnsi" w:cs="Times New Roman"/>
          <w:sz w:val="24"/>
        </w:rPr>
        <w:t>case-control</w:t>
      </w:r>
      <w:proofErr w:type="spellEnd"/>
      <w:r w:rsidRPr="00CE6CEB">
        <w:rPr>
          <w:rStyle w:val="FontStyle19"/>
          <w:rFonts w:asciiTheme="minorHAnsi" w:hAnsiTheme="minorHAnsi" w:cs="Times New Roman"/>
          <w:sz w:val="24"/>
        </w:rPr>
        <w:t xml:space="preserve"> </w:t>
      </w:r>
      <w:proofErr w:type="spellStart"/>
      <w:r w:rsidRPr="00CE6CEB">
        <w:rPr>
          <w:rStyle w:val="FontStyle19"/>
          <w:rFonts w:asciiTheme="minorHAnsi" w:hAnsiTheme="minorHAnsi" w:cs="Times New Roman"/>
          <w:sz w:val="24"/>
        </w:rPr>
        <w:t>study</w:t>
      </w:r>
      <w:proofErr w:type="spellEnd"/>
      <w:r w:rsidRPr="00CE6CEB">
        <w:rPr>
          <w:rStyle w:val="FontStyle19"/>
          <w:rFonts w:asciiTheme="minorHAnsi" w:hAnsiTheme="minorHAnsi" w:cs="Times New Roman"/>
          <w:sz w:val="24"/>
        </w:rPr>
        <w:t xml:space="preserve"> / SR. </w:t>
      </w:r>
      <w:proofErr w:type="spellStart"/>
      <w:r w:rsidRPr="00CE6CEB">
        <w:rPr>
          <w:rStyle w:val="FontStyle19"/>
          <w:rFonts w:asciiTheme="minorHAnsi" w:hAnsiTheme="minorHAnsi" w:cs="Times New Roman"/>
          <w:sz w:val="24"/>
        </w:rPr>
        <w:t>Vavricka</w:t>
      </w:r>
      <w:proofErr w:type="spellEnd"/>
      <w:r w:rsidRPr="00CE6CEB">
        <w:rPr>
          <w:rStyle w:val="FontStyle19"/>
          <w:rFonts w:asciiTheme="minorHAnsi" w:hAnsiTheme="minorHAnsi" w:cs="Times New Roman"/>
          <w:sz w:val="24"/>
        </w:rPr>
        <w:t xml:space="preserve">, СN. </w:t>
      </w:r>
      <w:proofErr w:type="spellStart"/>
      <w:r w:rsidRPr="00CE6CEB">
        <w:rPr>
          <w:rStyle w:val="FontStyle19"/>
          <w:rFonts w:asciiTheme="minorHAnsi" w:hAnsiTheme="minorHAnsi" w:cs="Times New Roman"/>
          <w:sz w:val="24"/>
        </w:rPr>
        <w:t>Manser</w:t>
      </w:r>
      <w:proofErr w:type="spellEnd"/>
      <w:r w:rsidRPr="00CE6CEB">
        <w:rPr>
          <w:rStyle w:val="FontStyle19"/>
          <w:rFonts w:asciiTheme="minorHAnsi" w:hAnsiTheme="minorHAnsi" w:cs="Times New Roman"/>
          <w:sz w:val="24"/>
        </w:rPr>
        <w:t xml:space="preserve">, S. </w:t>
      </w:r>
      <w:proofErr w:type="spellStart"/>
      <w:r w:rsidRPr="00CE6CEB">
        <w:rPr>
          <w:rStyle w:val="FontStyle19"/>
          <w:rFonts w:asciiTheme="minorHAnsi" w:hAnsiTheme="minorHAnsi" w:cs="Times New Roman"/>
          <w:sz w:val="24"/>
        </w:rPr>
        <w:t>Hediger</w:t>
      </w:r>
      <w:proofErr w:type="spellEnd"/>
      <w:r w:rsidRPr="00CE6CEB">
        <w:rPr>
          <w:rStyle w:val="FontStyle19"/>
          <w:rFonts w:asciiTheme="minorHAnsi" w:hAnsiTheme="minorHAnsi" w:cs="Times New Roman"/>
          <w:sz w:val="24"/>
        </w:rPr>
        <w:t xml:space="preserve">, M. </w:t>
      </w:r>
      <w:proofErr w:type="spellStart"/>
      <w:r w:rsidRPr="00CE6CEB">
        <w:rPr>
          <w:rStyle w:val="FontStyle19"/>
          <w:rFonts w:asciiTheme="minorHAnsi" w:hAnsiTheme="minorHAnsi" w:cs="Times New Roman"/>
          <w:sz w:val="24"/>
        </w:rPr>
        <w:t>Scharl</w:t>
      </w:r>
      <w:proofErr w:type="spellEnd"/>
      <w:r w:rsidRPr="00CE6CEB">
        <w:rPr>
          <w:rStyle w:val="FontStyle19"/>
          <w:rFonts w:asciiTheme="minorHAnsi" w:hAnsiTheme="minorHAnsi" w:cs="Times New Roman"/>
          <w:sz w:val="24"/>
        </w:rPr>
        <w:t xml:space="preserve">, L. </w:t>
      </w:r>
      <w:proofErr w:type="spellStart"/>
      <w:r w:rsidRPr="00CE6CEB">
        <w:rPr>
          <w:rStyle w:val="FontStyle19"/>
          <w:rFonts w:asciiTheme="minorHAnsi" w:hAnsiTheme="minorHAnsi" w:cs="Times New Roman"/>
          <w:sz w:val="24"/>
        </w:rPr>
        <w:t>Biedermann</w:t>
      </w:r>
      <w:proofErr w:type="spellEnd"/>
      <w:r w:rsidRPr="00CE6CEB">
        <w:rPr>
          <w:rStyle w:val="FontStyle19"/>
          <w:rFonts w:asciiTheme="minorHAnsi" w:hAnsiTheme="minorHAnsi" w:cs="Times New Roman"/>
          <w:sz w:val="24"/>
        </w:rPr>
        <w:t xml:space="preserve">, S. </w:t>
      </w:r>
      <w:proofErr w:type="spellStart"/>
      <w:r w:rsidRPr="00CE6CEB">
        <w:rPr>
          <w:rStyle w:val="FontStyle19"/>
          <w:rFonts w:asciiTheme="minorHAnsi" w:hAnsiTheme="minorHAnsi" w:cs="Times New Roman"/>
          <w:sz w:val="24"/>
        </w:rPr>
        <w:t>Rogler</w:t>
      </w:r>
      <w:proofErr w:type="spellEnd"/>
      <w:r w:rsidRPr="00CE6CEB">
        <w:rPr>
          <w:rStyle w:val="FontStyle19"/>
          <w:rFonts w:asciiTheme="minorHAnsi" w:hAnsiTheme="minorHAnsi" w:cs="Times New Roman"/>
          <w:sz w:val="24"/>
        </w:rPr>
        <w:t xml:space="preserve">// </w:t>
      </w:r>
      <w:proofErr w:type="spellStart"/>
      <w:r w:rsidRPr="00CE6CEB">
        <w:rPr>
          <w:rStyle w:val="FontStyle19"/>
          <w:rFonts w:asciiTheme="minorHAnsi" w:hAnsiTheme="minorHAnsi" w:cs="Times New Roman"/>
          <w:sz w:val="24"/>
        </w:rPr>
        <w:t>Inflamm</w:t>
      </w:r>
      <w:proofErr w:type="spellEnd"/>
      <w:r w:rsidRPr="00CE6CEB">
        <w:rPr>
          <w:rStyle w:val="FontStyle19"/>
          <w:rFonts w:asciiTheme="minorHAnsi" w:hAnsiTheme="minorHAnsi" w:cs="Times New Roman"/>
          <w:sz w:val="24"/>
        </w:rPr>
        <w:t xml:space="preserve"> </w:t>
      </w:r>
      <w:proofErr w:type="spellStart"/>
      <w:r w:rsidRPr="00CE6CEB">
        <w:rPr>
          <w:rStyle w:val="FontStyle19"/>
          <w:rFonts w:asciiTheme="minorHAnsi" w:hAnsiTheme="minorHAnsi" w:cs="Times New Roman"/>
          <w:sz w:val="24"/>
        </w:rPr>
        <w:t>Bowel</w:t>
      </w:r>
      <w:proofErr w:type="spellEnd"/>
      <w:r w:rsidRPr="00CE6CEB">
        <w:rPr>
          <w:rStyle w:val="FontStyle19"/>
          <w:rFonts w:asciiTheme="minorHAnsi" w:hAnsiTheme="minorHAnsi" w:cs="Times New Roman"/>
          <w:sz w:val="24"/>
        </w:rPr>
        <w:t xml:space="preserve"> </w:t>
      </w:r>
      <w:proofErr w:type="spellStart"/>
      <w:r w:rsidRPr="00CE6CEB">
        <w:rPr>
          <w:rStyle w:val="FontStyle19"/>
          <w:rFonts w:asciiTheme="minorHAnsi" w:hAnsiTheme="minorHAnsi" w:cs="Times New Roman"/>
          <w:sz w:val="24"/>
        </w:rPr>
        <w:t>Dis</w:t>
      </w:r>
      <w:proofErr w:type="spellEnd"/>
      <w:r w:rsidRPr="00CE6CEB">
        <w:rPr>
          <w:rStyle w:val="FontStyle19"/>
          <w:rFonts w:asciiTheme="minorHAnsi" w:hAnsiTheme="minorHAnsi" w:cs="Times New Roman"/>
          <w:sz w:val="24"/>
        </w:rPr>
        <w:t xml:space="preserve">. – 2013 </w:t>
      </w:r>
      <w:proofErr w:type="spellStart"/>
      <w:r w:rsidRPr="00CE6CEB">
        <w:rPr>
          <w:rStyle w:val="FontStyle19"/>
          <w:rFonts w:asciiTheme="minorHAnsi" w:hAnsiTheme="minorHAnsi" w:cs="Times New Roman"/>
          <w:sz w:val="24"/>
        </w:rPr>
        <w:t>Dec</w:t>
      </w:r>
      <w:proofErr w:type="spellEnd"/>
      <w:r w:rsidRPr="00CE6CEB">
        <w:rPr>
          <w:rStyle w:val="FontStyle19"/>
          <w:rFonts w:asciiTheme="minorHAnsi" w:hAnsiTheme="minorHAnsi" w:cs="Times New Roman"/>
          <w:sz w:val="24"/>
        </w:rPr>
        <w:t>. –19(13):2768-77.</w:t>
      </w:r>
    </w:p>
    <w:p w:rsidR="007950CA" w:rsidRDefault="007950CA" w:rsidP="007950CA">
      <w:pPr>
        <w:widowControl w:val="0"/>
        <w:autoSpaceDE w:val="0"/>
        <w:autoSpaceDN w:val="0"/>
        <w:adjustRightInd w:val="0"/>
        <w:spacing w:after="240"/>
        <w:rPr>
          <w:rFonts w:ascii="Times" w:hAnsi="Times" w:cs="Times"/>
          <w:lang w:val="en-US"/>
        </w:rPr>
      </w:pPr>
    </w:p>
    <w:p w:rsidR="007950CA" w:rsidRPr="007950CA" w:rsidRDefault="007950CA" w:rsidP="00915C56">
      <w:pPr>
        <w:widowControl w:val="0"/>
        <w:autoSpaceDE w:val="0"/>
        <w:autoSpaceDN w:val="0"/>
        <w:adjustRightInd w:val="0"/>
        <w:spacing w:after="240"/>
        <w:rPr>
          <w:rFonts w:cs="Times"/>
          <w:b/>
          <w:lang w:val="en-US"/>
        </w:rPr>
      </w:pPr>
    </w:p>
    <w:p w:rsidR="00F101E5" w:rsidRPr="00902F02" w:rsidRDefault="00F101E5" w:rsidP="00F101E5">
      <w:pPr>
        <w:jc w:val="both"/>
        <w:rPr>
          <w:lang w:val="en-US"/>
        </w:rPr>
      </w:pPr>
    </w:p>
    <w:sectPr w:rsidR="00F101E5" w:rsidRPr="00902F02" w:rsidSect="00504A0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A0B9B"/>
    <w:multiLevelType w:val="hybridMultilevel"/>
    <w:tmpl w:val="F95E2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E5"/>
    <w:rsid w:val="00024ADB"/>
    <w:rsid w:val="00052BF0"/>
    <w:rsid w:val="000A09EE"/>
    <w:rsid w:val="001C1276"/>
    <w:rsid w:val="00253CE5"/>
    <w:rsid w:val="00504A07"/>
    <w:rsid w:val="007950CA"/>
    <w:rsid w:val="007C078F"/>
    <w:rsid w:val="008435E9"/>
    <w:rsid w:val="008535F7"/>
    <w:rsid w:val="008A58CA"/>
    <w:rsid w:val="00902F02"/>
    <w:rsid w:val="00915C56"/>
    <w:rsid w:val="00932959"/>
    <w:rsid w:val="009A013D"/>
    <w:rsid w:val="00AB2D73"/>
    <w:rsid w:val="00BC726D"/>
    <w:rsid w:val="00C36B42"/>
    <w:rsid w:val="00C830BA"/>
    <w:rsid w:val="00EC7871"/>
    <w:rsid w:val="00F101E5"/>
    <w:rsid w:val="00F669BF"/>
    <w:rsid w:val="00FB0D3B"/>
    <w:rsid w:val="00FB6D0B"/>
    <w:rsid w:val="00FD4B1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2637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uiPriority w:val="99"/>
    <w:rsid w:val="008435E9"/>
    <w:rPr>
      <w:rFonts w:ascii="Times New Roman" w:hAnsi="Times New Roman"/>
      <w:sz w:val="20"/>
    </w:rPr>
  </w:style>
  <w:style w:type="table" w:styleId="a3">
    <w:name w:val="Table Grid"/>
    <w:basedOn w:val="a1"/>
    <w:uiPriority w:val="59"/>
    <w:rsid w:val="00AB2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C7871"/>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EC7871"/>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uiPriority w:val="99"/>
    <w:rsid w:val="008435E9"/>
    <w:rPr>
      <w:rFonts w:ascii="Times New Roman" w:hAnsi="Times New Roman"/>
      <w:sz w:val="20"/>
    </w:rPr>
  </w:style>
  <w:style w:type="table" w:styleId="a3">
    <w:name w:val="Table Grid"/>
    <w:basedOn w:val="a1"/>
    <w:uiPriority w:val="59"/>
    <w:rsid w:val="00AB2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C7871"/>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EC7871"/>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chart" Target="charts/chart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mac:Users:ludmilagorzova-bilej:Desktop:&#1053;&#1086;&#1074;&#1072;&#1103;%20&#1087;&#1072;&#1087;&#1082;&#1072;%202:&#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Users:ludmilagorzova-bilej:Desktop:&#1053;&#1086;&#1074;&#1072;&#1103;%20&#1087;&#1072;&#1087;&#1082;&#1072;%202:&#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Лист1!$I$4</c:f>
              <c:strCache>
                <c:ptCount val="1"/>
                <c:pt idx="0">
                  <c:v>main group</c:v>
                </c:pt>
              </c:strCache>
            </c:strRef>
          </c:tx>
          <c:invertIfNegative val="0"/>
          <c:cat>
            <c:strRef>
              <c:f>Лист1!$J$3:$L$3</c:f>
              <c:strCache>
                <c:ptCount val="3"/>
                <c:pt idx="0">
                  <c:v>mild severity</c:v>
                </c:pt>
                <c:pt idx="1">
                  <c:v>medium severity</c:v>
                </c:pt>
                <c:pt idx="2">
                  <c:v>heavy severity</c:v>
                </c:pt>
              </c:strCache>
            </c:strRef>
          </c:cat>
          <c:val>
            <c:numRef>
              <c:f>Лист1!$J$4:$L$4</c:f>
              <c:numCache>
                <c:formatCode>_(* #,##0.00_);_(* \(#,##0.00\);_(* "-"??_);_(@_)</c:formatCode>
                <c:ptCount val="3"/>
                <c:pt idx="0">
                  <c:v>24.55</c:v>
                </c:pt>
                <c:pt idx="1">
                  <c:v>43.66</c:v>
                </c:pt>
                <c:pt idx="2">
                  <c:v>60.0</c:v>
                </c:pt>
              </c:numCache>
            </c:numRef>
          </c:val>
        </c:ser>
        <c:ser>
          <c:idx val="1"/>
          <c:order val="1"/>
          <c:tx>
            <c:strRef>
              <c:f>Лист1!$I$5</c:f>
              <c:strCache>
                <c:ptCount val="1"/>
                <c:pt idx="0">
                  <c:v>comparative group</c:v>
                </c:pt>
              </c:strCache>
            </c:strRef>
          </c:tx>
          <c:invertIfNegative val="0"/>
          <c:cat>
            <c:strRef>
              <c:f>Лист1!$J$3:$L$3</c:f>
              <c:strCache>
                <c:ptCount val="3"/>
                <c:pt idx="0">
                  <c:v>mild severity</c:v>
                </c:pt>
                <c:pt idx="1">
                  <c:v>medium severity</c:v>
                </c:pt>
                <c:pt idx="2">
                  <c:v>heavy severity</c:v>
                </c:pt>
              </c:strCache>
            </c:strRef>
          </c:cat>
          <c:val>
            <c:numRef>
              <c:f>Лист1!$J$5:$L$5</c:f>
              <c:numCache>
                <c:formatCode>_(* #,##0.00_);_(* \(#,##0.00\);_(* "-"??_);_(@_)</c:formatCode>
                <c:ptCount val="3"/>
                <c:pt idx="0">
                  <c:v>18.34</c:v>
                </c:pt>
                <c:pt idx="1">
                  <c:v>29.13</c:v>
                </c:pt>
                <c:pt idx="2">
                  <c:v>48.05</c:v>
                </c:pt>
              </c:numCache>
            </c:numRef>
          </c:val>
        </c:ser>
        <c:dLbls>
          <c:showLegendKey val="0"/>
          <c:showVal val="0"/>
          <c:showCatName val="0"/>
          <c:showSerName val="0"/>
          <c:showPercent val="0"/>
          <c:showBubbleSize val="0"/>
        </c:dLbls>
        <c:gapWidth val="150"/>
        <c:axId val="2110970008"/>
        <c:axId val="2087990696"/>
      </c:barChart>
      <c:catAx>
        <c:axId val="2110970008"/>
        <c:scaling>
          <c:orientation val="minMax"/>
        </c:scaling>
        <c:delete val="0"/>
        <c:axPos val="b"/>
        <c:majorTickMark val="out"/>
        <c:minorTickMark val="none"/>
        <c:tickLblPos val="nextTo"/>
        <c:crossAx val="2087990696"/>
        <c:crosses val="autoZero"/>
        <c:auto val="1"/>
        <c:lblAlgn val="ctr"/>
        <c:lblOffset val="100"/>
        <c:noMultiLvlLbl val="0"/>
      </c:catAx>
      <c:valAx>
        <c:axId val="2087990696"/>
        <c:scaling>
          <c:orientation val="minMax"/>
        </c:scaling>
        <c:delete val="0"/>
        <c:axPos val="l"/>
        <c:majorGridlines/>
        <c:numFmt formatCode="_(* #,##0.00_);_(* \(#,##0.00\);_(* &quot;-&quot;??_);_(@_)" sourceLinked="1"/>
        <c:majorTickMark val="out"/>
        <c:minorTickMark val="none"/>
        <c:tickLblPos val="nextTo"/>
        <c:crossAx val="211097000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Лист1!$D$6</c:f>
              <c:strCache>
                <c:ptCount val="1"/>
                <c:pt idx="0">
                  <c:v>main group</c:v>
                </c:pt>
              </c:strCache>
            </c:strRef>
          </c:tx>
          <c:invertIfNegative val="0"/>
          <c:cat>
            <c:strRef>
              <c:f>Лист1!$C$7:$C$9</c:f>
              <c:strCache>
                <c:ptCount val="3"/>
                <c:pt idx="0">
                  <c:v>mild severity</c:v>
                </c:pt>
                <c:pt idx="1">
                  <c:v>medium severity</c:v>
                </c:pt>
                <c:pt idx="2">
                  <c:v>heavy severity</c:v>
                </c:pt>
              </c:strCache>
            </c:strRef>
          </c:cat>
          <c:val>
            <c:numRef>
              <c:f>Лист1!$D$7:$D$9</c:f>
              <c:numCache>
                <c:formatCode>_(* #,##0.00_);_(* \(#,##0.00\);_(* "-"??_);_(@_)</c:formatCode>
                <c:ptCount val="3"/>
                <c:pt idx="0">
                  <c:v>1.53</c:v>
                </c:pt>
                <c:pt idx="1">
                  <c:v>1.98</c:v>
                </c:pt>
                <c:pt idx="2">
                  <c:v>2.69</c:v>
                </c:pt>
              </c:numCache>
            </c:numRef>
          </c:val>
        </c:ser>
        <c:ser>
          <c:idx val="1"/>
          <c:order val="1"/>
          <c:tx>
            <c:strRef>
              <c:f>Лист1!$E$6</c:f>
              <c:strCache>
                <c:ptCount val="1"/>
                <c:pt idx="0">
                  <c:v>comparative group</c:v>
                </c:pt>
              </c:strCache>
            </c:strRef>
          </c:tx>
          <c:invertIfNegative val="0"/>
          <c:cat>
            <c:strRef>
              <c:f>Лист1!$C$7:$C$9</c:f>
              <c:strCache>
                <c:ptCount val="3"/>
                <c:pt idx="0">
                  <c:v>mild severity</c:v>
                </c:pt>
                <c:pt idx="1">
                  <c:v>medium severity</c:v>
                </c:pt>
                <c:pt idx="2">
                  <c:v>heavy severity</c:v>
                </c:pt>
              </c:strCache>
            </c:strRef>
          </c:cat>
          <c:val>
            <c:numRef>
              <c:f>Лист1!$E$7:$E$9</c:f>
              <c:numCache>
                <c:formatCode>_(* #,##0.00_);_(* \(#,##0.00\);_(* "-"??_);_(@_)</c:formatCode>
                <c:ptCount val="3"/>
                <c:pt idx="0">
                  <c:v>0.85</c:v>
                </c:pt>
                <c:pt idx="1">
                  <c:v>1.63</c:v>
                </c:pt>
                <c:pt idx="2">
                  <c:v>2.26</c:v>
                </c:pt>
              </c:numCache>
            </c:numRef>
          </c:val>
        </c:ser>
        <c:dLbls>
          <c:showLegendKey val="0"/>
          <c:showVal val="0"/>
          <c:showCatName val="0"/>
          <c:showSerName val="0"/>
          <c:showPercent val="0"/>
          <c:showBubbleSize val="0"/>
        </c:dLbls>
        <c:gapWidth val="150"/>
        <c:shape val="cylinder"/>
        <c:axId val="2107068168"/>
        <c:axId val="2061784232"/>
        <c:axId val="0"/>
      </c:bar3DChart>
      <c:catAx>
        <c:axId val="2107068168"/>
        <c:scaling>
          <c:orientation val="minMax"/>
        </c:scaling>
        <c:delete val="0"/>
        <c:axPos val="b"/>
        <c:majorTickMark val="out"/>
        <c:minorTickMark val="none"/>
        <c:tickLblPos val="nextTo"/>
        <c:crossAx val="2061784232"/>
        <c:crosses val="autoZero"/>
        <c:auto val="1"/>
        <c:lblAlgn val="ctr"/>
        <c:lblOffset val="100"/>
        <c:noMultiLvlLbl val="0"/>
      </c:catAx>
      <c:valAx>
        <c:axId val="2061784232"/>
        <c:scaling>
          <c:orientation val="minMax"/>
        </c:scaling>
        <c:delete val="0"/>
        <c:axPos val="l"/>
        <c:majorGridlines/>
        <c:numFmt formatCode="_(* #,##0.00_);_(* \(#,##0.00\);_(* &quot;-&quot;??_);_(@_)" sourceLinked="1"/>
        <c:majorTickMark val="out"/>
        <c:minorTickMark val="none"/>
        <c:tickLblPos val="nextTo"/>
        <c:crossAx val="210706816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1715</Words>
  <Characters>9778</Characters>
  <Application>Microsoft Macintosh Word</Application>
  <DocSecurity>0</DocSecurity>
  <Lines>81</Lines>
  <Paragraphs>22</Paragraphs>
  <ScaleCrop>false</ScaleCrop>
  <Company/>
  <LinksUpToDate>false</LinksUpToDate>
  <CharactersWithSpaces>11471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Горзова-Билей</dc:creator>
  <cp:keywords/>
  <dc:description/>
  <cp:lastModifiedBy>Людмила Горзова-Билей</cp:lastModifiedBy>
  <cp:revision>1</cp:revision>
  <dcterms:created xsi:type="dcterms:W3CDTF">2015-08-26T17:49:00Z</dcterms:created>
  <dcterms:modified xsi:type="dcterms:W3CDTF">2015-08-26T18:01:00Z</dcterms:modified>
</cp:coreProperties>
</file>