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EB" w:rsidRDefault="00884FEB" w:rsidP="00884FEB">
      <w:pPr>
        <w:spacing w:line="360" w:lineRule="auto"/>
        <w:ind w:right="141"/>
        <w:rPr>
          <w:b/>
          <w:sz w:val="28"/>
          <w:szCs w:val="28"/>
          <w:lang w:val="uk-UA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  <w:r w:rsidRPr="000D7C79">
        <w:rPr>
          <w:b/>
          <w:sz w:val="32"/>
          <w:szCs w:val="32"/>
        </w:rPr>
        <w:t>МІНІСТЕРСТВО ОСВІТИ І НАУКИ УКРАЇНИ</w:t>
      </w: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  <w:r w:rsidRPr="000D7C79">
        <w:rPr>
          <w:b/>
          <w:sz w:val="32"/>
          <w:szCs w:val="32"/>
        </w:rPr>
        <w:t>ДВНЗ «УЖГОРОДСЬКИЙ НАЦІОНАЛЬНИЙ УНІВЕРСИТЕТ»</w:t>
      </w: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  <w:r w:rsidRPr="000D7C79">
        <w:rPr>
          <w:b/>
          <w:sz w:val="32"/>
          <w:szCs w:val="32"/>
        </w:rPr>
        <w:t>ФАКУЛЬТЕТ ЗДОРОВ’Я ТА ФІЗИЧНОГО ВИХОВАННЯ</w:t>
      </w: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  <w:r w:rsidRPr="000D7C79">
        <w:rPr>
          <w:b/>
          <w:sz w:val="32"/>
          <w:szCs w:val="32"/>
        </w:rPr>
        <w:t>79-а ПІДСУМКОВА НАУКОВА КОНФЕРЕНЦІЯ ПРОФЕСОРСЬКО-ВИКЛАДАЦЬКОГО СКЛАДУ ФАКУЛЬТЕТУ ЗДОРОВ’Я ТА ФІЗИЧНОГО ВИХОВАННЯ ДВНЗ «УЖГОРОДСЬКИЙ НАЦІОНАЛЬНИЙ УНІВЕРСИТЕТ»</w:t>
      </w: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  <w:r w:rsidRPr="000D7C79">
        <w:rPr>
          <w:b/>
          <w:sz w:val="32"/>
          <w:szCs w:val="32"/>
        </w:rPr>
        <w:t>ЗБІРНИК ТЕЗ</w:t>
      </w: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  <w:r w:rsidRPr="000D7C79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  <w:lang w:val="uk-UA"/>
        </w:rPr>
        <w:t>8</w:t>
      </w:r>
      <w:r w:rsidRPr="000D7C79">
        <w:rPr>
          <w:b/>
          <w:sz w:val="32"/>
          <w:szCs w:val="32"/>
        </w:rPr>
        <w:t>-2</w:t>
      </w:r>
      <w:r>
        <w:rPr>
          <w:b/>
          <w:sz w:val="32"/>
          <w:szCs w:val="32"/>
          <w:lang w:val="uk-UA"/>
        </w:rPr>
        <w:t>9</w:t>
      </w:r>
      <w:r w:rsidRPr="000D7C79">
        <w:rPr>
          <w:b/>
          <w:sz w:val="32"/>
          <w:szCs w:val="32"/>
        </w:rPr>
        <w:t xml:space="preserve"> лютого 202</w:t>
      </w:r>
      <w:r>
        <w:rPr>
          <w:b/>
          <w:sz w:val="32"/>
          <w:szCs w:val="32"/>
          <w:lang w:val="uk-UA"/>
        </w:rPr>
        <w:t>4</w:t>
      </w:r>
      <w:r w:rsidRPr="000D7C79">
        <w:rPr>
          <w:b/>
          <w:sz w:val="32"/>
          <w:szCs w:val="32"/>
        </w:rPr>
        <w:t xml:space="preserve"> року</w:t>
      </w: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</w:rPr>
      </w:pPr>
    </w:p>
    <w:p w:rsidR="00884FEB" w:rsidRPr="000D7C79" w:rsidRDefault="00884FEB" w:rsidP="00884FEB">
      <w:pPr>
        <w:ind w:right="281"/>
        <w:rPr>
          <w:b/>
          <w:sz w:val="32"/>
          <w:szCs w:val="32"/>
        </w:rPr>
      </w:pPr>
    </w:p>
    <w:p w:rsidR="00884FEB" w:rsidRDefault="00884FEB" w:rsidP="00884FEB">
      <w:pPr>
        <w:ind w:left="-284" w:right="281" w:firstLine="710"/>
        <w:jc w:val="center"/>
        <w:rPr>
          <w:b/>
          <w:sz w:val="32"/>
          <w:szCs w:val="32"/>
          <w:lang w:val="uk-UA"/>
        </w:rPr>
      </w:pPr>
      <w:r w:rsidRPr="000D7C79">
        <w:rPr>
          <w:b/>
          <w:sz w:val="32"/>
          <w:szCs w:val="32"/>
        </w:rPr>
        <w:t>Ужгород-202</w:t>
      </w:r>
      <w:r>
        <w:rPr>
          <w:b/>
          <w:sz w:val="32"/>
          <w:szCs w:val="32"/>
          <w:lang w:val="uk-UA"/>
        </w:rPr>
        <w:t>4</w:t>
      </w:r>
    </w:p>
    <w:p w:rsidR="00884FEB" w:rsidRPr="00884FEB" w:rsidRDefault="00884FEB" w:rsidP="00884FEB">
      <w:pPr>
        <w:ind w:left="-284" w:right="281" w:firstLine="71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ДВНЗ «УжНУ»</w:t>
      </w:r>
    </w:p>
    <w:p w:rsidR="00884FEB" w:rsidRDefault="00884FEB" w:rsidP="000F1688">
      <w:pPr>
        <w:spacing w:line="360" w:lineRule="auto"/>
        <w:ind w:left="-284" w:right="141" w:firstLine="708"/>
        <w:jc w:val="center"/>
        <w:rPr>
          <w:b/>
          <w:sz w:val="28"/>
          <w:szCs w:val="28"/>
          <w:lang w:val="uk-UA"/>
        </w:rPr>
      </w:pPr>
    </w:p>
    <w:p w:rsidR="00884FEB" w:rsidRDefault="00884FEB" w:rsidP="00884FEB">
      <w:pPr>
        <w:ind w:right="141"/>
        <w:jc w:val="center"/>
        <w:rPr>
          <w:b/>
          <w:sz w:val="28"/>
          <w:szCs w:val="28"/>
        </w:rPr>
      </w:pPr>
      <w:r w:rsidRPr="00884FEB">
        <w:rPr>
          <w:b/>
          <w:sz w:val="28"/>
          <w:szCs w:val="28"/>
        </w:rPr>
        <w:lastRenderedPageBreak/>
        <w:t>ЗМІСТ</w:t>
      </w:r>
    </w:p>
    <w:p w:rsidR="00884FEB" w:rsidRDefault="00884FEB" w:rsidP="00884FEB">
      <w:pPr>
        <w:ind w:right="141"/>
        <w:jc w:val="center"/>
        <w:rPr>
          <w:b/>
          <w:sz w:val="28"/>
          <w:szCs w:val="28"/>
        </w:rPr>
      </w:pPr>
    </w:p>
    <w:p w:rsidR="00884FEB" w:rsidRPr="00884FEB" w:rsidRDefault="00884FEB" w:rsidP="00337ECB">
      <w:pPr>
        <w:ind w:right="141"/>
        <w:jc w:val="center"/>
        <w:rPr>
          <w:b/>
          <w:sz w:val="28"/>
          <w:szCs w:val="28"/>
        </w:rPr>
      </w:pP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БІЛОГУР Влада, КАРАБАНОВ </w:t>
      </w:r>
      <w:proofErr w:type="spellStart"/>
      <w:r w:rsidRPr="00884FEB">
        <w:rPr>
          <w:sz w:val="28"/>
          <w:szCs w:val="28"/>
        </w:rPr>
        <w:t>Євген</w:t>
      </w:r>
      <w:proofErr w:type="spellEnd"/>
      <w:r w:rsidRPr="00884FEB">
        <w:rPr>
          <w:sz w:val="28"/>
          <w:szCs w:val="28"/>
        </w:rPr>
        <w:t xml:space="preserve">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>ВПЛИВ СТУДЕНТСЬКОЇ ГРОМАДИ НА РОЗВИТОК ФІЗКУЛЬТУРНОСПОРТИВНОЇ ОСВІТИ</w:t>
      </w:r>
      <w:r>
        <w:rPr>
          <w:sz w:val="28"/>
          <w:szCs w:val="28"/>
          <w:lang w:val="uk-UA"/>
        </w:rPr>
        <w:t xml:space="preserve">                               </w:t>
      </w:r>
      <w:r w:rsidR="00337ECB">
        <w:rPr>
          <w:sz w:val="28"/>
          <w:szCs w:val="28"/>
          <w:lang w:val="uk-UA"/>
        </w:rPr>
        <w:t xml:space="preserve">                            </w:t>
      </w:r>
      <w:r w:rsidRPr="00884FEB">
        <w:rPr>
          <w:sz w:val="28"/>
          <w:szCs w:val="28"/>
        </w:rPr>
        <w:t xml:space="preserve"> 6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БОНДАРЧУК </w:t>
      </w:r>
      <w:proofErr w:type="spellStart"/>
      <w:r w:rsidRPr="00884FEB">
        <w:rPr>
          <w:sz w:val="28"/>
          <w:szCs w:val="28"/>
        </w:rPr>
        <w:t>Наталія</w:t>
      </w:r>
      <w:proofErr w:type="spellEnd"/>
      <w:r w:rsidRPr="00884FEB">
        <w:rPr>
          <w:sz w:val="28"/>
          <w:szCs w:val="28"/>
        </w:rPr>
        <w:t xml:space="preserve">, КЕВПАНИЧ Василь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НАПРЯМИ ВДОСКОНАЛЕННЯ МЕТОДІВ І ЗАСОБІВ ПРОЦЕСУ БАСКЕТБОЛЬНОЇ ПІДГОТОВКИ ШКОЛЯРІВ </w:t>
      </w:r>
      <w:r w:rsidR="00337ECB">
        <w:rPr>
          <w:sz w:val="28"/>
          <w:szCs w:val="28"/>
          <w:lang w:val="uk-UA"/>
        </w:rPr>
        <w:t xml:space="preserve">                                                </w:t>
      </w:r>
      <w:r w:rsidRPr="00884FEB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>ГАЯШ Оксана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 РІЗНОРІВНЕВИЙ ЗМІСТ ОСВІТИ МОЛОДШИХ ШКОЛЯРІВ З ІНТЕЛЕКТУАЛЬНИМИ ПОРУШЕННЯМИ З УРАХУВАННЯМ ПРИНЦИПУ ІНКЛЮЗИВНОСТІ </w:t>
      </w: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337ECB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</w:t>
      </w:r>
      <w:r w:rsidRPr="00884FEB">
        <w:rPr>
          <w:sz w:val="28"/>
          <w:szCs w:val="28"/>
        </w:rPr>
        <w:t xml:space="preserve">13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ГУЗАК </w:t>
      </w:r>
      <w:proofErr w:type="spellStart"/>
      <w:r w:rsidRPr="00884FEB">
        <w:rPr>
          <w:sz w:val="28"/>
          <w:szCs w:val="28"/>
        </w:rPr>
        <w:t>Олександра</w:t>
      </w:r>
      <w:proofErr w:type="spellEnd"/>
      <w:r w:rsidRPr="00884FEB">
        <w:rPr>
          <w:sz w:val="28"/>
          <w:szCs w:val="28"/>
        </w:rPr>
        <w:t xml:space="preserve">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КОМП’ЮТЕРНІ І МОБІЛЬНІ ПРОГРАМИ ЯК ДОДАТКОВИЙ ІНСТРУМЕНТ У ФІЗИЧНІЙ РЕАБІЛІТАЦІЇ ПРИ РІЗНИХ ТРАВМАХ І ЗАХВОРЮВАННЯХ </w:t>
      </w: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337ECB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</w:t>
      </w:r>
      <w:r w:rsidRPr="00884FEB">
        <w:rPr>
          <w:sz w:val="28"/>
          <w:szCs w:val="28"/>
        </w:rPr>
        <w:t xml:space="preserve">17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ГУЦОЛ </w:t>
      </w:r>
      <w:proofErr w:type="spellStart"/>
      <w:r w:rsidRPr="00884FEB">
        <w:rPr>
          <w:sz w:val="28"/>
          <w:szCs w:val="28"/>
        </w:rPr>
        <w:t>Іванна</w:t>
      </w:r>
      <w:proofErr w:type="spellEnd"/>
      <w:r w:rsidRPr="00884FEB">
        <w:rPr>
          <w:sz w:val="28"/>
          <w:szCs w:val="28"/>
        </w:rPr>
        <w:t xml:space="preserve">, БРИЧ </w:t>
      </w:r>
      <w:proofErr w:type="spellStart"/>
      <w:r w:rsidRPr="00884FEB">
        <w:rPr>
          <w:sz w:val="28"/>
          <w:szCs w:val="28"/>
        </w:rPr>
        <w:t>Валерія</w:t>
      </w:r>
      <w:proofErr w:type="spellEnd"/>
      <w:r w:rsidRPr="00884FEB">
        <w:rPr>
          <w:sz w:val="28"/>
          <w:szCs w:val="28"/>
        </w:rPr>
        <w:t xml:space="preserve">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ЛЮДИ, ЯКІ ЖИВУТЬ З ВІЛ, ЯК ЦІЛЬОВА ГРУПА СОЦІАЛЬНО СУПРОВОДУ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337ECB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</w:t>
      </w:r>
      <w:r w:rsidRPr="00884FEB">
        <w:rPr>
          <w:sz w:val="28"/>
          <w:szCs w:val="28"/>
        </w:rPr>
        <w:t xml:space="preserve">21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ДУБ </w:t>
      </w:r>
      <w:proofErr w:type="spellStart"/>
      <w:r w:rsidRPr="00884FEB">
        <w:rPr>
          <w:sz w:val="28"/>
          <w:szCs w:val="28"/>
        </w:rPr>
        <w:t>Мар’яна</w:t>
      </w:r>
      <w:proofErr w:type="spellEnd"/>
      <w:r w:rsidRPr="00884FEB">
        <w:rPr>
          <w:sz w:val="28"/>
          <w:szCs w:val="28"/>
        </w:rPr>
        <w:t xml:space="preserve">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>ІННОВАЦІЙНІ ТЕХНОЛОГІЇ В РЕАБІЛІТАЦІЇ ТРАВМ</w:t>
      </w:r>
      <w:r>
        <w:rPr>
          <w:sz w:val="28"/>
          <w:szCs w:val="28"/>
          <w:lang w:val="uk-UA"/>
        </w:rPr>
        <w:t xml:space="preserve">         </w:t>
      </w:r>
      <w:r w:rsidR="00337ECB">
        <w:rPr>
          <w:sz w:val="28"/>
          <w:szCs w:val="28"/>
          <w:lang w:val="uk-UA"/>
        </w:rPr>
        <w:t xml:space="preserve">                       </w:t>
      </w:r>
      <w:r w:rsidRPr="00884FEB">
        <w:rPr>
          <w:sz w:val="28"/>
          <w:szCs w:val="28"/>
        </w:rPr>
        <w:t>25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ДУТКЕВИЧ-ІВАНСЬКА </w:t>
      </w:r>
      <w:proofErr w:type="spellStart"/>
      <w:r w:rsidRPr="00884FEB">
        <w:rPr>
          <w:sz w:val="28"/>
          <w:szCs w:val="28"/>
        </w:rPr>
        <w:t>Юлія</w:t>
      </w:r>
      <w:proofErr w:type="spellEnd"/>
      <w:r w:rsidRPr="00884FEB">
        <w:rPr>
          <w:sz w:val="28"/>
          <w:szCs w:val="28"/>
        </w:rPr>
        <w:t xml:space="preserve">, МЕЛЕГА </w:t>
      </w:r>
      <w:proofErr w:type="spellStart"/>
      <w:r w:rsidRPr="00884FEB">
        <w:rPr>
          <w:sz w:val="28"/>
          <w:szCs w:val="28"/>
        </w:rPr>
        <w:t>Ксенія</w:t>
      </w:r>
      <w:proofErr w:type="spellEnd"/>
      <w:r w:rsidRPr="00884FEB">
        <w:rPr>
          <w:sz w:val="28"/>
          <w:szCs w:val="28"/>
        </w:rPr>
        <w:t xml:space="preserve">, РУСИН Людмила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ВИГОРАННЯ У ПІДЛІТКІВ В УМОВАХ СЬОГОДЕННЯ </w:t>
      </w:r>
      <w:r>
        <w:rPr>
          <w:sz w:val="28"/>
          <w:szCs w:val="28"/>
          <w:lang w:val="uk-UA"/>
        </w:rPr>
        <w:t xml:space="preserve">                              </w:t>
      </w:r>
      <w:r w:rsidRPr="00884FEB">
        <w:rPr>
          <w:sz w:val="28"/>
          <w:szCs w:val="28"/>
        </w:rPr>
        <w:t>27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>ІВАЦЬ-ЧАБІНА Анна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 ЕФЕКТИВНІСТЬ МЕТОДІВ САМОДОПОМОГИ ПРИ ТРИВОЗІ У СТУДЕНТІВ ВИЩИХ НАВЧАЛЬНИХ ЗАКЛАДІВ </w:t>
      </w:r>
      <w:r>
        <w:rPr>
          <w:sz w:val="28"/>
          <w:szCs w:val="28"/>
          <w:lang w:val="uk-UA"/>
        </w:rPr>
        <w:t xml:space="preserve">                  </w:t>
      </w:r>
      <w:r w:rsidR="00337ECB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</w:t>
      </w:r>
      <w:r w:rsidRPr="00884FEB">
        <w:rPr>
          <w:sz w:val="28"/>
          <w:szCs w:val="28"/>
        </w:rPr>
        <w:t xml:space="preserve">32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КОВАЧ </w:t>
      </w:r>
      <w:proofErr w:type="spellStart"/>
      <w:r w:rsidRPr="00884FEB">
        <w:rPr>
          <w:sz w:val="28"/>
          <w:szCs w:val="28"/>
        </w:rPr>
        <w:t>Шандор</w:t>
      </w:r>
      <w:proofErr w:type="spellEnd"/>
      <w:r w:rsidRPr="00884FEB">
        <w:rPr>
          <w:sz w:val="28"/>
          <w:szCs w:val="28"/>
        </w:rPr>
        <w:t xml:space="preserve">, КОВАЧ Данило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>РОЗВИТОК СИЛОВИХ ЯКОСТЕЙ ВАТЕРПОЛІСТІВ</w:t>
      </w:r>
      <w:r w:rsidR="00337ECB">
        <w:rPr>
          <w:sz w:val="28"/>
          <w:szCs w:val="28"/>
          <w:lang w:val="uk-UA"/>
        </w:rPr>
        <w:t xml:space="preserve"> </w:t>
      </w:r>
      <w:r w:rsidR="00337ECB">
        <w:rPr>
          <w:sz w:val="28"/>
          <w:szCs w:val="28"/>
          <w:lang w:val="uk-UA"/>
        </w:rPr>
        <w:t xml:space="preserve">                                    </w:t>
      </w:r>
      <w:r w:rsidR="00337ECB" w:rsidRPr="00884FEB">
        <w:rPr>
          <w:sz w:val="28"/>
          <w:szCs w:val="28"/>
        </w:rPr>
        <w:t>34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337EC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КЛЯП </w:t>
      </w:r>
      <w:proofErr w:type="spellStart"/>
      <w:r w:rsidRPr="00884FEB">
        <w:rPr>
          <w:sz w:val="28"/>
          <w:szCs w:val="28"/>
        </w:rPr>
        <w:t>Маріанна</w:t>
      </w:r>
      <w:proofErr w:type="spellEnd"/>
      <w:r w:rsidRPr="00884FEB">
        <w:rPr>
          <w:sz w:val="28"/>
          <w:szCs w:val="28"/>
        </w:rPr>
        <w:t xml:space="preserve">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ДО ПИТАННЯ ПРО ОСОБЛИВОСТІ СІМЕЙНОГО ВИХОВАННЯ ДІТЕЙ З ПОРУШЕННЯМИ ІНТЕЛЕКТУ </w:t>
      </w:r>
      <w:r>
        <w:rPr>
          <w:sz w:val="28"/>
          <w:szCs w:val="28"/>
          <w:lang w:val="uk-UA"/>
        </w:rPr>
        <w:t xml:space="preserve">                              </w:t>
      </w:r>
      <w:r w:rsidR="00337ECB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84FEB">
        <w:rPr>
          <w:sz w:val="28"/>
          <w:szCs w:val="28"/>
        </w:rPr>
        <w:t xml:space="preserve">38 </w:t>
      </w:r>
    </w:p>
    <w:p w:rsidR="00337EC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ЛЯХОВЕЦЬ Лариса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>ЗАСТОСУВАННЯ МЕТОДІВ КІНЕТОТЕРАПІЇ У ПРОФІЛАКТИЦІ ВАРИКОЗНОГО РОЗШИРЕННЯ ВЕН НИЖНІХ КІНЦІВОК ТА ЛІКУВАЛЬНОЇ ГІМНАСТИКИ В СИСТЕМІ ФІЗИЧНОЇ РЕАБІЛІТАЦІЇ ВІДПОВІДНИХ ХВОРИХ</w:t>
      </w: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884FEB">
        <w:rPr>
          <w:sz w:val="28"/>
          <w:szCs w:val="28"/>
        </w:rPr>
        <w:t xml:space="preserve"> </w:t>
      </w:r>
      <w:r w:rsidRPr="00884FEB">
        <w:rPr>
          <w:sz w:val="28"/>
          <w:szCs w:val="28"/>
        </w:rPr>
        <w:t>41</w:t>
      </w:r>
    </w:p>
    <w:p w:rsidR="00337EC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МАЛЬЦЕВА </w:t>
      </w:r>
    </w:p>
    <w:p w:rsidR="00884FE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>Ольга ЗНАЧЕННЯ РОЗВИТКУ ПІЗНАВАЛЬНОЇ ДІЯЛЬНОСТІ СТУДЕНТІВ У ФОРМУВАННІ ПРОФЕСІЙНОЇ КОМПЕТЕНТНОСТІ</w:t>
      </w:r>
      <w:r>
        <w:rPr>
          <w:sz w:val="28"/>
          <w:szCs w:val="28"/>
          <w:lang w:val="uk-UA"/>
        </w:rPr>
        <w:t xml:space="preserve">        </w:t>
      </w:r>
      <w:r w:rsidR="00337ECB">
        <w:rPr>
          <w:sz w:val="28"/>
          <w:szCs w:val="28"/>
          <w:lang w:val="uk-UA"/>
        </w:rPr>
        <w:t xml:space="preserve">                       </w:t>
      </w:r>
      <w:r w:rsidRPr="00884FEB">
        <w:rPr>
          <w:sz w:val="28"/>
          <w:szCs w:val="28"/>
        </w:rPr>
        <w:t xml:space="preserve"> 45 </w:t>
      </w:r>
    </w:p>
    <w:p w:rsidR="00337EC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МАРІОНДА </w:t>
      </w:r>
      <w:proofErr w:type="spellStart"/>
      <w:r w:rsidRPr="00884FEB">
        <w:rPr>
          <w:sz w:val="28"/>
          <w:szCs w:val="28"/>
        </w:rPr>
        <w:t>Іван</w:t>
      </w:r>
      <w:proofErr w:type="spellEnd"/>
      <w:r w:rsidRPr="00884FEB">
        <w:rPr>
          <w:sz w:val="28"/>
          <w:szCs w:val="28"/>
        </w:rPr>
        <w:t xml:space="preserve">, ТРІФАН </w:t>
      </w:r>
      <w:proofErr w:type="spellStart"/>
      <w:r w:rsidRPr="00884FEB">
        <w:rPr>
          <w:sz w:val="28"/>
          <w:szCs w:val="28"/>
        </w:rPr>
        <w:t>Олександр</w:t>
      </w:r>
      <w:proofErr w:type="spellEnd"/>
      <w:r w:rsidRPr="00884FEB">
        <w:rPr>
          <w:sz w:val="28"/>
          <w:szCs w:val="28"/>
        </w:rPr>
        <w:t xml:space="preserve"> </w:t>
      </w:r>
    </w:p>
    <w:p w:rsidR="00337ECB" w:rsidRDefault="00884FEB" w:rsidP="00337ECB">
      <w:pPr>
        <w:ind w:right="141"/>
        <w:jc w:val="both"/>
        <w:rPr>
          <w:sz w:val="28"/>
          <w:szCs w:val="28"/>
        </w:rPr>
      </w:pPr>
      <w:r w:rsidRPr="00884FEB">
        <w:rPr>
          <w:sz w:val="28"/>
          <w:szCs w:val="28"/>
        </w:rPr>
        <w:t xml:space="preserve">МЕТОДОЛОГІЧНІ ЗАСАДИ, ПРИНЦИПИ ТА МЕТОДИ ОСВІТНЬОЇ ДІЯЛЬНОСТІ КАФЕДРИ ФІЗИЧНОГО ВИХОВАННЯ В УМОВАХ </w:t>
      </w:r>
    </w:p>
    <w:p w:rsidR="00337ECB" w:rsidRPr="00337ECB" w:rsidRDefault="00884FEB" w:rsidP="00337ECB">
      <w:pPr>
        <w:ind w:right="141"/>
        <w:jc w:val="both"/>
        <w:rPr>
          <w:sz w:val="28"/>
          <w:szCs w:val="28"/>
          <w:lang w:val="uk-UA"/>
        </w:rPr>
      </w:pPr>
      <w:r w:rsidRPr="00884FEB">
        <w:rPr>
          <w:sz w:val="28"/>
          <w:szCs w:val="28"/>
        </w:rPr>
        <w:t>РЕФОРМ</w:t>
      </w:r>
      <w:r w:rsidR="00337ECB">
        <w:rPr>
          <w:sz w:val="28"/>
          <w:szCs w:val="28"/>
          <w:lang w:val="uk-UA"/>
        </w:rPr>
        <w:t xml:space="preserve">                                                                                                                  49</w:t>
      </w:r>
    </w:p>
    <w:p w:rsidR="00884FEB" w:rsidRDefault="00884FEB" w:rsidP="00337ECB">
      <w:pPr>
        <w:spacing w:line="360" w:lineRule="auto"/>
        <w:ind w:right="141"/>
        <w:rPr>
          <w:b/>
          <w:sz w:val="28"/>
          <w:szCs w:val="28"/>
          <w:lang w:val="uk-UA"/>
        </w:rPr>
      </w:pPr>
    </w:p>
    <w:p w:rsidR="00337ECB" w:rsidRDefault="00337ECB" w:rsidP="00337ECB">
      <w:pPr>
        <w:spacing w:line="360" w:lineRule="auto"/>
        <w:ind w:right="141"/>
        <w:rPr>
          <w:b/>
          <w:sz w:val="28"/>
          <w:szCs w:val="28"/>
          <w:lang w:val="uk-UA"/>
        </w:rPr>
      </w:pPr>
    </w:p>
    <w:p w:rsidR="00337ECB" w:rsidRDefault="00337ECB" w:rsidP="00337ECB">
      <w:pPr>
        <w:spacing w:line="360" w:lineRule="auto"/>
        <w:ind w:right="141"/>
        <w:rPr>
          <w:b/>
          <w:sz w:val="28"/>
          <w:szCs w:val="28"/>
          <w:lang w:val="uk-UA"/>
        </w:rPr>
      </w:pPr>
      <w:bookmarkStart w:id="0" w:name="_GoBack"/>
      <w:bookmarkEnd w:id="0"/>
    </w:p>
    <w:p w:rsidR="000F1688" w:rsidRPr="000F1688" w:rsidRDefault="00C16124" w:rsidP="000F1688">
      <w:pPr>
        <w:spacing w:line="360" w:lineRule="auto"/>
        <w:ind w:left="-284" w:right="141" w:firstLine="708"/>
        <w:jc w:val="center"/>
        <w:rPr>
          <w:b/>
          <w:sz w:val="28"/>
          <w:szCs w:val="28"/>
          <w:lang w:val="uk-UA"/>
        </w:rPr>
      </w:pPr>
      <w:r w:rsidRPr="000F1688">
        <w:rPr>
          <w:b/>
          <w:sz w:val="28"/>
          <w:szCs w:val="28"/>
          <w:lang w:val="uk-UA"/>
        </w:rPr>
        <w:t>ЗНАЧЕННЯ РОЗВИТКУ ПІЗНАВАЛЬНОЇ ДІЯЛЬНОСТІ СТУДЕНТІВ</w:t>
      </w:r>
      <w:r w:rsidR="000F1688" w:rsidRPr="000F1688">
        <w:rPr>
          <w:b/>
          <w:sz w:val="28"/>
          <w:szCs w:val="28"/>
          <w:lang w:val="uk-UA"/>
        </w:rPr>
        <w:t xml:space="preserve"> </w:t>
      </w:r>
      <w:r w:rsidRPr="000F1688">
        <w:rPr>
          <w:b/>
          <w:sz w:val="28"/>
          <w:szCs w:val="28"/>
          <w:lang w:val="uk-UA"/>
        </w:rPr>
        <w:t>У ФОРМУВАННІ ПРО</w:t>
      </w:r>
      <w:r w:rsidR="000F1688" w:rsidRPr="000F1688">
        <w:rPr>
          <w:b/>
          <w:sz w:val="28"/>
          <w:szCs w:val="28"/>
          <w:lang w:val="uk-UA"/>
        </w:rPr>
        <w:t>Ф</w:t>
      </w:r>
      <w:r w:rsidRPr="000F1688">
        <w:rPr>
          <w:b/>
          <w:sz w:val="28"/>
          <w:szCs w:val="28"/>
          <w:lang w:val="uk-UA"/>
        </w:rPr>
        <w:t xml:space="preserve">ЕСІЙНОЇ </w:t>
      </w:r>
    </w:p>
    <w:p w:rsidR="00C16124" w:rsidRPr="000F1688" w:rsidRDefault="00C16124" w:rsidP="000F1688">
      <w:pPr>
        <w:spacing w:line="360" w:lineRule="auto"/>
        <w:ind w:left="-284" w:right="141" w:firstLine="708"/>
        <w:jc w:val="center"/>
        <w:rPr>
          <w:b/>
          <w:sz w:val="28"/>
          <w:szCs w:val="28"/>
          <w:lang w:val="uk-UA"/>
        </w:rPr>
      </w:pPr>
      <w:r w:rsidRPr="000F1688">
        <w:rPr>
          <w:b/>
          <w:sz w:val="28"/>
          <w:szCs w:val="28"/>
          <w:lang w:val="uk-UA"/>
        </w:rPr>
        <w:t>КОМПЕТЕНТНОСТІ</w:t>
      </w:r>
    </w:p>
    <w:p w:rsidR="00C16124" w:rsidRDefault="00C16124" w:rsidP="00B06607">
      <w:pPr>
        <w:ind w:left="-284" w:right="141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Мальцева</w:t>
      </w:r>
    </w:p>
    <w:p w:rsidR="00C16124" w:rsidRDefault="00C16124" w:rsidP="00B06607">
      <w:pPr>
        <w:ind w:left="-284" w:right="141" w:firstLine="708"/>
        <w:jc w:val="center"/>
        <w:rPr>
          <w:lang w:val="uk-UA"/>
        </w:rPr>
      </w:pPr>
      <w:r>
        <w:rPr>
          <w:lang w:val="uk-UA"/>
        </w:rPr>
        <w:t>доцент, кандидат медичних наук, доцент</w:t>
      </w:r>
    </w:p>
    <w:p w:rsidR="00C16124" w:rsidRDefault="00C16124" w:rsidP="00B06607">
      <w:pPr>
        <w:spacing w:line="360" w:lineRule="auto"/>
        <w:ind w:left="-284" w:right="141" w:firstLine="708"/>
        <w:jc w:val="both"/>
      </w:pP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Постановка актуальності проблеми.</w:t>
      </w:r>
      <w:r>
        <w:rPr>
          <w:sz w:val="28"/>
          <w:szCs w:val="28"/>
          <w:lang w:val="uk-UA"/>
        </w:rPr>
        <w:t xml:space="preserve"> Різнобічного спрямування пізнавальна діяльність людини починається з народження дитини і продовжується все життя. Найбільш інтенсивно процеси пізнання здійснюються у навчальних закладах всіх рівнів, вони заохочуються не тільки викладачами, педагогами, консультантами, але і членами сім</w:t>
      </w:r>
      <w:r w:rsidR="000F168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родини. 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закладах середньої освіти, за даними </w:t>
      </w:r>
      <w:proofErr w:type="spellStart"/>
      <w:r>
        <w:rPr>
          <w:sz w:val="28"/>
          <w:szCs w:val="28"/>
          <w:lang w:val="uk-UA"/>
        </w:rPr>
        <w:t>Гуріної</w:t>
      </w:r>
      <w:proofErr w:type="spellEnd"/>
      <w:r>
        <w:rPr>
          <w:sz w:val="28"/>
          <w:szCs w:val="28"/>
          <w:lang w:val="uk-UA"/>
        </w:rPr>
        <w:t xml:space="preserve"> А. П., розвивається уміння спілкування, особистісного зростання учнів, основи уміння та навичок ведення дебатів, діалогу, критичного мислення, уміння розв’язувати проблеми.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діалоги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толерантності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взаєморозуміння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побудові</w:t>
      </w:r>
      <w:proofErr w:type="spellEnd"/>
      <w:r>
        <w:rPr>
          <w:sz w:val="28"/>
          <w:szCs w:val="28"/>
        </w:rPr>
        <w:t xml:space="preserve"> конструктивного </w:t>
      </w:r>
      <w:proofErr w:type="spellStart"/>
      <w:r>
        <w:rPr>
          <w:sz w:val="28"/>
          <w:szCs w:val="28"/>
        </w:rPr>
        <w:t>діалогу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Поступово формується досвід пізнавальної діяльності, що удосконалюється при подальшому навчанні молодої особи у вищому навчальному закладі [1, 315– 316].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даними </w:t>
      </w:r>
      <w:proofErr w:type="spellStart"/>
      <w:r>
        <w:rPr>
          <w:sz w:val="28"/>
          <w:szCs w:val="28"/>
          <w:lang w:val="uk-UA"/>
        </w:rPr>
        <w:t>Жукової</w:t>
      </w:r>
      <w:proofErr w:type="spellEnd"/>
      <w:r>
        <w:rPr>
          <w:sz w:val="28"/>
          <w:szCs w:val="28"/>
          <w:lang w:val="uk-UA"/>
        </w:rPr>
        <w:t xml:space="preserve"> Г. В., у середовищі студентів рівень пізнавальної діяльності вже можна оцінити за певними результатами: досвід  побутової та навчальної діяльності, рівень знань, умінь та навичок, уміння вирішення проблемних ситуацій,  удосконалення емоційно-ціннісних відносин. Внаслідок дорослішання, розвитку умінь і навичок, формується та удосконалюється готовність до взаємодії у колективі, відбувається накопичення соціальних навиків особистості в процесі адаптації та індивідуалізації [2, С. 45–55; 3, С. 11–27].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Мета, завдання дослідження. </w:t>
      </w:r>
      <w:r>
        <w:rPr>
          <w:sz w:val="28"/>
          <w:szCs w:val="28"/>
          <w:lang w:val="uk-UA"/>
        </w:rPr>
        <w:t xml:space="preserve">Вивчення  та аналіз наукових досліджень з питань важливості формування </w:t>
      </w:r>
      <w:proofErr w:type="spellStart"/>
      <w:r>
        <w:rPr>
          <w:sz w:val="28"/>
          <w:szCs w:val="28"/>
          <w:lang w:val="uk-UA"/>
        </w:rPr>
        <w:t>пінавальної</w:t>
      </w:r>
      <w:proofErr w:type="spellEnd"/>
      <w:r>
        <w:rPr>
          <w:sz w:val="28"/>
          <w:szCs w:val="28"/>
          <w:lang w:val="uk-UA"/>
        </w:rPr>
        <w:t xml:space="preserve"> діяльності студентів як складової загальної професійної компетентності.</w:t>
      </w:r>
    </w:p>
    <w:p w:rsidR="00C16124" w:rsidRDefault="00C16124" w:rsidP="00B06607">
      <w:pPr>
        <w:tabs>
          <w:tab w:val="left" w:pos="-284"/>
          <w:tab w:val="left" w:pos="1080"/>
        </w:tabs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Виклад основного матеріалу</w:t>
      </w:r>
      <w:r>
        <w:rPr>
          <w:sz w:val="28"/>
          <w:szCs w:val="28"/>
          <w:lang w:val="uk-UA"/>
        </w:rPr>
        <w:t xml:space="preserve">. У Рекомендаціях Європейського Парламенту та Ради Європи щодо формування ключових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lastRenderedPageBreak/>
        <w:t xml:space="preserve">навчання впродовж життя визначено, що в основі професійної компетентності –  базові навички використання засобів інформаційно-комунікаційних технологій: використання комп’ютерів для пошуку інформації, її аналіз, збереження, презентація та обмін нею, а також </w:t>
      </w:r>
      <w:r w:rsidR="000F1688">
        <w:rPr>
          <w:sz w:val="28"/>
          <w:szCs w:val="28"/>
          <w:lang w:val="uk-UA"/>
        </w:rPr>
        <w:t xml:space="preserve">використання комплексу знань </w:t>
      </w:r>
      <w:r>
        <w:rPr>
          <w:sz w:val="28"/>
          <w:szCs w:val="28"/>
          <w:lang w:val="uk-UA"/>
        </w:rPr>
        <w:t xml:space="preserve">для спілкування в соціальних мережах в Інтернеті. Зазначене підтверджують і наші дослідження, адже пізнавальна діяльність як викладачів, так і студентів у питаннях інформаційно-цифрової компетентності (як одної з ключових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) передбачає застосування  інформаційно-комунікаційних технологій (вимірюється у громадян на різних рівнях для визначення відповідності умовам навчання та праці) для створення, пошуку, обробки, обміну інформацією на роботі, протягом навчальної діяльності, в публічному просторі та приватному спілкуванні [4,; 5, С. 108-111].   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розвитку пізнавальної діяльності студентів у формуванні професійної компетентності важливим є використання Європейської мережі </w:t>
      </w:r>
      <w:r>
        <w:rPr>
          <w:sz w:val="28"/>
          <w:szCs w:val="28"/>
        </w:rPr>
        <w:t>EUROPASS</w:t>
      </w:r>
      <w:r>
        <w:rPr>
          <w:sz w:val="28"/>
          <w:szCs w:val="28"/>
          <w:lang w:val="uk-UA"/>
        </w:rPr>
        <w:t xml:space="preserve">, яка пропонує дотримуватися таких стандартів цифрової компетентності, ключовими складовими якої є: </w:t>
      </w:r>
    </w:p>
    <w:p w:rsidR="00C16124" w:rsidRDefault="00C16124" w:rsidP="00B06607">
      <w:pPr>
        <w:pStyle w:val="a4"/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 Управління інформацією (і</w:t>
      </w:r>
      <w:proofErr w:type="spellStart"/>
      <w:r>
        <w:rPr>
          <w:sz w:val="28"/>
          <w:szCs w:val="28"/>
        </w:rPr>
        <w:t>nformation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management</w:t>
      </w:r>
      <w:proofErr w:type="spellEnd"/>
      <w:r>
        <w:rPr>
          <w:sz w:val="28"/>
          <w:szCs w:val="28"/>
          <w:lang w:val="uk-UA"/>
        </w:rPr>
        <w:t xml:space="preserve">) – знання, вміння і навички для пошуку інформації, її аналіз та використання у професійній діяльності, вміння отримувати доступ до інформації, здійснювати пошук інформації в Інтернеті, формулювати інформаційні потреби, знаходити відповідну інформацію, вибирати ефективні ресурси, створювати персональні інформаційні стратегії, оцінювати вміння збирати, обробляти, розуміти й критично оцінювати інформацію, управляти і зберігати інформацію та створювати базу даних. 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Співробітництво (с</w:t>
      </w:r>
      <w:proofErr w:type="spellStart"/>
      <w:r>
        <w:rPr>
          <w:sz w:val="28"/>
          <w:szCs w:val="28"/>
        </w:rPr>
        <w:t>ollaboration</w:t>
      </w:r>
      <w:proofErr w:type="spellEnd"/>
      <w:r>
        <w:rPr>
          <w:sz w:val="28"/>
          <w:szCs w:val="28"/>
          <w:lang w:val="uk-UA"/>
        </w:rPr>
        <w:t xml:space="preserve">) – знання, навички та вміння для участі в різних спільнотах, співпраці з іншими користувачами в мережі Інтернет. 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Комунікація (с</w:t>
      </w:r>
      <w:proofErr w:type="spellStart"/>
      <w:r>
        <w:rPr>
          <w:sz w:val="28"/>
          <w:szCs w:val="28"/>
        </w:rPr>
        <w:t>ommunication</w:t>
      </w:r>
      <w:proofErr w:type="spellEnd"/>
      <w:r>
        <w:rPr>
          <w:sz w:val="28"/>
          <w:szCs w:val="28"/>
          <w:lang w:val="uk-UA"/>
        </w:rPr>
        <w:t xml:space="preserve">) – знання, навички та вміння для спілкування, готовність і здатність ділитися знаннями, знання практики й правил цитування інформації, пошуку можливостей для саморозвитку та самовдосконалення, використання технологій для командної роботи, </w:t>
      </w:r>
      <w:r>
        <w:rPr>
          <w:sz w:val="28"/>
          <w:szCs w:val="28"/>
          <w:lang w:val="uk-UA"/>
        </w:rPr>
        <w:lastRenderedPageBreak/>
        <w:t xml:space="preserve">налагодження процесів співпраці, здатність оперувати базою даних, створеною кількома користувачами. 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Контент та знання (с</w:t>
      </w:r>
      <w:proofErr w:type="spellStart"/>
      <w:r>
        <w:rPr>
          <w:sz w:val="28"/>
          <w:szCs w:val="28"/>
        </w:rPr>
        <w:t>reation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content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knowledge</w:t>
      </w:r>
      <w:proofErr w:type="spellEnd"/>
      <w:r>
        <w:rPr>
          <w:sz w:val="28"/>
          <w:szCs w:val="28"/>
          <w:lang w:val="uk-UA"/>
        </w:rPr>
        <w:t xml:space="preserve">) – навички та вміння особистості для професійної і пізнавальної (творчої) діяльності, створення нових ресурсів використання інформаційних технологій, висловлення власної думки за допомогою цифрових технологій, розуміння як авторські права поширюються на інформацію та зміст. 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Етика й відповідальність (е</w:t>
      </w:r>
      <w:proofErr w:type="spellStart"/>
      <w:r>
        <w:rPr>
          <w:sz w:val="28"/>
          <w:szCs w:val="28"/>
        </w:rPr>
        <w:t>thics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responsibility</w:t>
      </w:r>
      <w:proofErr w:type="spellEnd"/>
      <w:r>
        <w:rPr>
          <w:sz w:val="28"/>
          <w:szCs w:val="28"/>
          <w:lang w:val="uk-UA"/>
        </w:rPr>
        <w:t>) – знання, навички і вміння фахівців щодо певної поведінки в мережі Інтернет.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Оцінювання та вирішення проблем (е</w:t>
      </w:r>
      <w:proofErr w:type="spellStart"/>
      <w:r>
        <w:rPr>
          <w:sz w:val="28"/>
          <w:szCs w:val="28"/>
        </w:rPr>
        <w:t>valuation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  <w:lang w:val="uk-UA"/>
        </w:rPr>
        <w:t xml:space="preserve"> р</w:t>
      </w:r>
      <w:proofErr w:type="spellStart"/>
      <w:r>
        <w:rPr>
          <w:sz w:val="28"/>
          <w:szCs w:val="28"/>
        </w:rPr>
        <w:t>roblem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solving</w:t>
      </w:r>
      <w:proofErr w:type="spellEnd"/>
      <w:r>
        <w:rPr>
          <w:sz w:val="28"/>
          <w:szCs w:val="28"/>
          <w:lang w:val="uk-UA"/>
        </w:rPr>
        <w:t xml:space="preserve">) – вибір інформаційних технологій для оцінювання і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знань та вмінь з різних навчальних дисциплін, обробки результатів оцінювання.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Технічне оперування (</w:t>
      </w:r>
      <w:proofErr w:type="spellStart"/>
      <w:r>
        <w:rPr>
          <w:sz w:val="28"/>
          <w:szCs w:val="28"/>
        </w:rPr>
        <w:t>technical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operation</w:t>
      </w:r>
      <w:proofErr w:type="spellEnd"/>
      <w:r>
        <w:rPr>
          <w:sz w:val="28"/>
          <w:szCs w:val="28"/>
          <w:lang w:val="uk-UA"/>
        </w:rPr>
        <w:t xml:space="preserve">) – знання, навички і вміння особистості для ефективного та безпечного використання інформаційних технологій у своїй професійній діяльності, активування захисту персональних даних, розуміння приватної власності інших людей, захисту себе від шахрайства в Інтернеті та можливих загроз [6]. </w:t>
      </w:r>
    </w:p>
    <w:p w:rsidR="00C16124" w:rsidRDefault="00C16124" w:rsidP="000F1688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Піз</w:t>
      </w:r>
      <w:r>
        <w:rPr>
          <w:sz w:val="28"/>
          <w:szCs w:val="28"/>
        </w:rPr>
        <w:t>навальн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студентів має велике значення у формуванні професійної компетентності, дозволяє протягом навчання та у поза навчальний період</w:t>
      </w:r>
      <w:r w:rsid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життєдіяльності використовувати засоби інформаційних технологій для професійної взаємодії з іншими студентами, власного професійного розвитку, забезпечення стратегій навчання, працевла</w:t>
      </w:r>
      <w:r w:rsidR="000F1688">
        <w:rPr>
          <w:sz w:val="28"/>
          <w:szCs w:val="28"/>
          <w:lang w:val="uk-UA"/>
        </w:rPr>
        <w:t>штування, передбачає набуття молодою особою нових</w:t>
      </w:r>
      <w:r>
        <w:rPr>
          <w:sz w:val="28"/>
          <w:szCs w:val="28"/>
          <w:lang w:val="uk-UA"/>
        </w:rPr>
        <w:t xml:space="preserve"> умінь та досвіду.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Література</w:t>
      </w:r>
      <w:proofErr w:type="spellEnd"/>
      <w:r>
        <w:rPr>
          <w:sz w:val="28"/>
          <w:szCs w:val="28"/>
        </w:rPr>
        <w:t xml:space="preserve">: 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Гуріна</w:t>
      </w:r>
      <w:proofErr w:type="spellEnd"/>
      <w:r>
        <w:rPr>
          <w:sz w:val="28"/>
          <w:szCs w:val="28"/>
          <w:lang w:val="uk-UA"/>
        </w:rPr>
        <w:t xml:space="preserve"> А. П.  Умови організації самостійної роботи учнів на уроках англійської мови в умовах НУШ. Відкрита наука України: </w:t>
      </w:r>
      <w:proofErr w:type="spellStart"/>
      <w:r>
        <w:rPr>
          <w:sz w:val="28"/>
          <w:szCs w:val="28"/>
          <w:lang w:val="uk-UA"/>
        </w:rPr>
        <w:t>візійний</w:t>
      </w:r>
      <w:proofErr w:type="spellEnd"/>
      <w:r>
        <w:rPr>
          <w:sz w:val="28"/>
          <w:szCs w:val="28"/>
          <w:lang w:val="uk-UA"/>
        </w:rPr>
        <w:t xml:space="preserve"> дискурс в умовах воєнного стану: матеріали ІІ Міжнародної міждисциплінарної науково-практичної конференції (27-29 вересня 2023 р.) / Укладачі: О.П. </w:t>
      </w:r>
      <w:proofErr w:type="spellStart"/>
      <w:r>
        <w:rPr>
          <w:sz w:val="28"/>
          <w:szCs w:val="28"/>
          <w:lang w:val="uk-UA"/>
        </w:rPr>
        <w:t>Адамчо</w:t>
      </w:r>
      <w:proofErr w:type="spellEnd"/>
      <w:r>
        <w:rPr>
          <w:sz w:val="28"/>
          <w:szCs w:val="28"/>
          <w:lang w:val="uk-UA"/>
        </w:rPr>
        <w:t>, Т.І. Гряділь. Ужгород: ДВНЗ «УжНУ», 2023. С. 315 – 316.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Жукова Г. В. Місце і роль </w:t>
      </w:r>
      <w:proofErr w:type="spellStart"/>
      <w:r>
        <w:rPr>
          <w:sz w:val="28"/>
          <w:szCs w:val="28"/>
          <w:lang w:val="uk-UA"/>
        </w:rPr>
        <w:t>позаакадемічної</w:t>
      </w:r>
      <w:proofErr w:type="spellEnd"/>
      <w:r>
        <w:rPr>
          <w:sz w:val="28"/>
          <w:szCs w:val="28"/>
          <w:lang w:val="uk-UA"/>
        </w:rPr>
        <w:t xml:space="preserve"> освіти в предметному п</w:t>
      </w:r>
      <w:r w:rsidR="000F1688">
        <w:rPr>
          <w:sz w:val="28"/>
          <w:szCs w:val="28"/>
          <w:lang w:val="uk-UA"/>
        </w:rPr>
        <w:t xml:space="preserve">олі філософії освіти. Освітній дискурс. 2020. </w:t>
      </w:r>
      <w:r>
        <w:rPr>
          <w:sz w:val="28"/>
          <w:szCs w:val="28"/>
          <w:lang w:val="uk-UA"/>
        </w:rPr>
        <w:t>№ 20 (2). С. 45–55.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en-US"/>
        </w:rPr>
        <w:t xml:space="preserve"> Brown R. Knowledge, education, and cultural change. Papers in the sociology of education London: Routledge, 2018. </w:t>
      </w:r>
      <w:r>
        <w:rPr>
          <w:sz w:val="28"/>
          <w:szCs w:val="28"/>
          <w:lang w:val="uk-UA"/>
        </w:rPr>
        <w:t>Р. 11–27.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Рекомендація</w:t>
      </w:r>
      <w:proofErr w:type="spellEnd"/>
      <w:r>
        <w:rPr>
          <w:sz w:val="28"/>
          <w:szCs w:val="28"/>
        </w:rPr>
        <w:t xml:space="preserve"> 2006/962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ЄС </w:t>
      </w:r>
      <w:proofErr w:type="spellStart"/>
      <w:r>
        <w:rPr>
          <w:sz w:val="28"/>
          <w:szCs w:val="28"/>
        </w:rPr>
        <w:t>Європейського</w:t>
      </w:r>
      <w:proofErr w:type="spellEnd"/>
      <w:r>
        <w:rPr>
          <w:sz w:val="28"/>
          <w:szCs w:val="28"/>
        </w:rPr>
        <w:t xml:space="preserve"> Парламенту </w:t>
      </w:r>
      <w:proofErr w:type="gramStart"/>
      <w:r>
        <w:rPr>
          <w:sz w:val="28"/>
          <w:szCs w:val="28"/>
        </w:rPr>
        <w:t>та Ради</w:t>
      </w:r>
      <w:proofErr w:type="gramEnd"/>
      <w:r>
        <w:rPr>
          <w:sz w:val="28"/>
          <w:szCs w:val="28"/>
        </w:rPr>
        <w:t xml:space="preserve"> (ЄС)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2006 р. [</w:t>
      </w:r>
      <w:proofErr w:type="spellStart"/>
      <w:r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</w:rPr>
        <w:t xml:space="preserve"> ресурс]. – Режим доступу: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https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://</w:t>
        </w:r>
        <w:r>
          <w:rPr>
            <w:rStyle w:val="a3"/>
            <w:color w:val="auto"/>
            <w:sz w:val="28"/>
            <w:szCs w:val="28"/>
            <w:u w:val="none"/>
          </w:rPr>
          <w:t>zakon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>rada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>gov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>ua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/</w:t>
        </w:r>
        <w:r>
          <w:rPr>
            <w:rStyle w:val="a3"/>
            <w:color w:val="auto"/>
            <w:sz w:val="28"/>
            <w:szCs w:val="28"/>
            <w:u w:val="none"/>
          </w:rPr>
          <w:t>laws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/</w:t>
        </w:r>
        <w:r>
          <w:rPr>
            <w:rStyle w:val="a3"/>
            <w:color w:val="auto"/>
            <w:sz w:val="28"/>
            <w:szCs w:val="28"/>
            <w:u w:val="none"/>
          </w:rPr>
          <w:t>show</w:t>
        </w:r>
        <w:r>
          <w:rPr>
            <w:rStyle w:val="a3"/>
            <w:color w:val="auto"/>
            <w:sz w:val="28"/>
            <w:szCs w:val="28"/>
            <w:u w:val="none"/>
            <w:lang w:val="uk-UA"/>
          </w:rPr>
          <w:t>/994_975</w:t>
        </w:r>
      </w:hyperlink>
      <w:r>
        <w:rPr>
          <w:sz w:val="28"/>
          <w:szCs w:val="28"/>
          <w:lang w:val="uk-UA"/>
        </w:rPr>
        <w:t>.</w:t>
      </w:r>
    </w:p>
    <w:p w:rsidR="00C16124" w:rsidRDefault="00C16124" w:rsidP="00B06607">
      <w:pPr>
        <w:tabs>
          <w:tab w:val="left" w:pos="-284"/>
          <w:tab w:val="left" w:pos="1080"/>
        </w:tabs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Мальцева О., Ряшко Є. Інноваційні підходи у формуванні професійної підготовки фахівців зі фізичної терапії та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 xml:space="preserve">. Професійні компетентності фахівців фізичної терапії та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>: інноваційні підходи: збірник тез доповідей ІІІ Всеукраїнської науково-практичної конференції з міжнародною участю, 19-20 жовтня 2023 р., Ужгород / Упоряд</w:t>
      </w:r>
      <w:r w:rsidR="000F1688">
        <w:rPr>
          <w:sz w:val="28"/>
          <w:szCs w:val="28"/>
          <w:lang w:val="uk-UA"/>
        </w:rPr>
        <w:t xml:space="preserve">ник: д. пед. н. С. В. </w:t>
      </w:r>
      <w:proofErr w:type="spellStart"/>
      <w:r w:rsidR="000F1688">
        <w:rPr>
          <w:sz w:val="28"/>
          <w:szCs w:val="28"/>
          <w:lang w:val="uk-UA"/>
        </w:rPr>
        <w:t>Стеблюк</w:t>
      </w:r>
      <w:proofErr w:type="spellEnd"/>
      <w:r w:rsidR="000F168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Ужгород: ДВНЗ «УжНУ», 2023. С. 108-111.</w:t>
      </w:r>
    </w:p>
    <w:p w:rsidR="00C16124" w:rsidRDefault="00C16124" w:rsidP="00B06607">
      <w:pPr>
        <w:spacing w:line="360" w:lineRule="auto"/>
        <w:ind w:left="-284" w:right="141" w:firstLine="708"/>
        <w:jc w:val="both"/>
        <w:rPr>
          <w:sz w:val="28"/>
          <w:szCs w:val="28"/>
          <w:lang w:val="uk-UA"/>
        </w:rPr>
      </w:pPr>
      <w:r w:rsidRPr="000F1688">
        <w:rPr>
          <w:sz w:val="28"/>
          <w:szCs w:val="28"/>
          <w:lang w:val="uk-UA"/>
        </w:rPr>
        <w:t xml:space="preserve">6. </w:t>
      </w:r>
      <w:proofErr w:type="spellStart"/>
      <w:r>
        <w:rPr>
          <w:sz w:val="28"/>
          <w:szCs w:val="28"/>
          <w:lang w:val="en-US"/>
        </w:rPr>
        <w:t>Redecker</w:t>
      </w:r>
      <w:proofErr w:type="spellEnd"/>
      <w:r w:rsidRP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 w:rsidRPr="000F168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European</w:t>
      </w:r>
      <w:r w:rsidRP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Framework</w:t>
      </w:r>
      <w:r w:rsidRP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for</w:t>
      </w:r>
      <w:r w:rsidRP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</w:t>
      </w:r>
      <w:r w:rsidRP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Digital</w:t>
      </w:r>
      <w:r w:rsidRP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Competence</w:t>
      </w:r>
      <w:r w:rsidRP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0F1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Educators</w:t>
      </w:r>
      <w:r w:rsidRPr="000F1688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en-US"/>
        </w:rPr>
        <w:t>DigCompEdu</w:t>
      </w:r>
      <w:proofErr w:type="spellEnd"/>
      <w:r w:rsidR="000F1688">
        <w:rPr>
          <w:sz w:val="28"/>
          <w:szCs w:val="28"/>
          <w:lang w:val="uk-UA"/>
        </w:rPr>
        <w:t xml:space="preserve">. </w:t>
      </w:r>
      <w:proofErr w:type="gramStart"/>
      <w:r>
        <w:rPr>
          <w:sz w:val="28"/>
          <w:szCs w:val="28"/>
          <w:lang w:val="en-US"/>
        </w:rPr>
        <w:t>Luxembourg :</w:t>
      </w:r>
      <w:proofErr w:type="gramEnd"/>
      <w:r>
        <w:rPr>
          <w:sz w:val="28"/>
          <w:szCs w:val="28"/>
          <w:lang w:val="en-US"/>
        </w:rPr>
        <w:t xml:space="preserve"> Publications Office of the European Union, 2017. </w:t>
      </w:r>
      <w:proofErr w:type="spellStart"/>
      <w:r>
        <w:rPr>
          <w:sz w:val="28"/>
          <w:szCs w:val="28"/>
          <w:lang w:val="en-US"/>
        </w:rPr>
        <w:t>doi</w:t>
      </w:r>
      <w:proofErr w:type="spellEnd"/>
      <w:r>
        <w:rPr>
          <w:sz w:val="28"/>
          <w:szCs w:val="28"/>
          <w:lang w:val="en-US"/>
        </w:rPr>
        <w:t>: 10.2760/159770</w:t>
      </w:r>
    </w:p>
    <w:p w:rsidR="00471B0E" w:rsidRPr="00225874" w:rsidRDefault="00471B0E" w:rsidP="00B06607">
      <w:pPr>
        <w:ind w:left="-284" w:right="141" w:firstLine="708"/>
        <w:rPr>
          <w:lang w:val="uk-UA"/>
        </w:rPr>
      </w:pPr>
    </w:p>
    <w:sectPr w:rsidR="00471B0E" w:rsidRPr="00225874" w:rsidSect="00471B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74"/>
    <w:rsid w:val="000F1688"/>
    <w:rsid w:val="00225874"/>
    <w:rsid w:val="00337ECB"/>
    <w:rsid w:val="00471B0E"/>
    <w:rsid w:val="00713FDC"/>
    <w:rsid w:val="007557B3"/>
    <w:rsid w:val="00796655"/>
    <w:rsid w:val="00856296"/>
    <w:rsid w:val="00884FEB"/>
    <w:rsid w:val="00B06607"/>
    <w:rsid w:val="00C16124"/>
    <w:rsid w:val="00C2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C8EB"/>
  <w15:docId w15:val="{2EC2EDD0-E6BA-41A9-9213-3A8B8DA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61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94_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6204</Words>
  <Characters>3537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Fujitsu</cp:lastModifiedBy>
  <cp:revision>6</cp:revision>
  <dcterms:created xsi:type="dcterms:W3CDTF">2024-02-10T07:36:00Z</dcterms:created>
  <dcterms:modified xsi:type="dcterms:W3CDTF">2025-03-12T10:30:00Z</dcterms:modified>
</cp:coreProperties>
</file>