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center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color w:val="4D4D4F"/>
          <w:sz w:val="27"/>
          <w:szCs w:val="27"/>
        </w:rPr>
        <w:t>ЕВРОРЕГИОНЫ – БАЗОВЫЙ ЭЛЕМЕНТ</w:t>
      </w:r>
    </w:p>
    <w:p w:rsidR="00F3083F" w:rsidRDefault="00F3083F" w:rsidP="00F3083F">
      <w:pPr>
        <w:pStyle w:val="norm"/>
        <w:shd w:val="clear" w:color="auto" w:fill="EFF0F2"/>
        <w:spacing w:after="0" w:afterAutospacing="0"/>
        <w:jc w:val="center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color w:val="4D4D4F"/>
          <w:sz w:val="27"/>
          <w:szCs w:val="27"/>
        </w:rPr>
        <w:t>ПРИГРАНИЧНОГО (ТРАНСГРАНИЧНОГО) СОТРУДНИЧЕСТВА</w:t>
      </w:r>
    </w:p>
    <w:p w:rsidR="00F3083F" w:rsidRDefault="00F3083F" w:rsidP="00F3083F">
      <w:pPr>
        <w:pStyle w:val="norm"/>
        <w:shd w:val="clear" w:color="auto" w:fill="EFF0F2"/>
        <w:spacing w:after="0" w:afterAutospacing="0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1. Вступление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На сегодняшний день проблемы интеграции Украины в общеевропейскую среду носит максимально актуальный характер. Пути и механизмы ее решения выискиваются на всевозможных уровнях: начиная от правительственного и заканчивая местным. Кроме этого, указанной проблематикой занимаются ряд научных учреждений и отдельных исследователей. Такой интерес со стороны многих субъектов государственной власти, представителей науки и практических деятелей вызван объективными причинами. Желание интегрироваться в Европу, ощущать цельность с ней на сегодня является краеугольным вопросом развития общества. Устремления в Европу продиктованы естественной тягой к лучшему: Украина и ее граждане хотят жить также хорошо как в большинстве европейских странах, мы хотим ощущать себя «первосортными» жителями планеты и т.д.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Тем не менее, несмотря на широкое обсуждение проблем интеграции возникает ряд неточностей в движениях, асинхронности действий, невыверенность шагов и т.д. В этом материале хотелось бы обратить внимание на некоторые аспекты приграничного и трансграничного сотрудничества, а точнее на один из основных инструментом такого сотрудничества – еврорегион.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2. Терминология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На сегодняшний день в органах исполнительной власти, в среде ученых, в прессе, на уровне бытового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сознания довольно часто слышны такие термины как «трансграничное сотрудничество», при этом все реже применяется термин «приграничное сотрудничество». Такое положение вещей не в последнюю очередь с данью моде новым словам иностранного происхождения. Считается, что применение термина трансграничное более ново, модно, а приграничное уже устарело, досталось в наследство от советских времен. Очень часто эти два термина применяются как синонимы, обозначающие, по мнению субъектов их употребляющих, одно и то же явление. Нередко, анализируя ситуации, когда применяются эти термины, можно прийти к выводу, что лица ими оперирующие в принципе не задаются вопросом </w:t>
      </w:r>
      <w:r>
        <w:rPr>
          <w:rStyle w:val="norm1"/>
          <w:rFonts w:ascii="Arial" w:hAnsi="Arial" w:cs="Arial"/>
          <w:color w:val="4D4D4F"/>
          <w:sz w:val="27"/>
          <w:szCs w:val="27"/>
        </w:rPr>
        <w:lastRenderedPageBreak/>
        <w:t>об их значении вообще. На обобщенном уровне термины «приграничное» и «трансграничное сотрудничество» чаще всего понимаются как что</w:t>
      </w:r>
      <w:r>
        <w:rPr>
          <w:rStyle w:val="norm1"/>
          <w:rFonts w:ascii="Arial" w:hAnsi="Arial" w:cs="Arial"/>
          <w:color w:val="4D4D4F"/>
          <w:sz w:val="22"/>
          <w:szCs w:val="22"/>
        </w:rPr>
        <w:t>-</w:t>
      </w:r>
      <w:r>
        <w:rPr>
          <w:rStyle w:val="norm1"/>
          <w:rFonts w:ascii="Arial" w:hAnsi="Arial" w:cs="Arial"/>
          <w:color w:val="4D4D4F"/>
          <w:sz w:val="27"/>
          <w:szCs w:val="27"/>
        </w:rPr>
        <w:t>то такое, что связано с внешними сношениями отдельных территориальных единиц.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Необходимо отметить, что в целом такая трактовка этих понятий есть в принципе верная. Таким образом,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4"/>
          <w:rFonts w:ascii="Arial" w:hAnsi="Arial" w:cs="Arial"/>
          <w:color w:val="4D4D4F"/>
          <w:sz w:val="27"/>
          <w:szCs w:val="27"/>
        </w:rPr>
        <w:t>Трансграничное (приграничное) сотрудничество – есть сотрудничество между</w:t>
      </w:r>
      <w:r>
        <w:rPr>
          <w:rStyle w:val="apple-converted-space"/>
          <w:rFonts w:ascii="Arial" w:hAnsi="Arial" w:cs="Arial"/>
          <w:i/>
          <w:iCs/>
          <w:color w:val="4D4D4F"/>
          <w:sz w:val="27"/>
          <w:szCs w:val="27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приграничными</w:t>
      </w:r>
      <w:r>
        <w:rPr>
          <w:rStyle w:val="apple-converted-space"/>
          <w:rFonts w:ascii="Arial" w:hAnsi="Arial" w:cs="Arial"/>
          <w:i/>
          <w:iCs/>
          <w:color w:val="4D4D4F"/>
          <w:sz w:val="27"/>
          <w:szCs w:val="27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>территориями, направленное на установление и поддержание добрососедских отношений</w:t>
      </w:r>
      <w:r>
        <w:rPr>
          <w:rStyle w:val="a4"/>
          <w:rFonts w:ascii="Arial" w:hAnsi="Arial" w:cs="Arial"/>
          <w:color w:val="4D4D4F"/>
          <w:sz w:val="22"/>
          <w:szCs w:val="22"/>
        </w:rPr>
        <w:t>,</w:t>
      </w:r>
      <w:r>
        <w:rPr>
          <w:rStyle w:val="apple-converted-space"/>
          <w:rFonts w:ascii="Arial" w:hAnsi="Arial" w:cs="Arial"/>
          <w:i/>
          <w:iCs/>
          <w:color w:val="4D4D4F"/>
          <w:sz w:val="27"/>
          <w:szCs w:val="27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>а также развитие совместных инициатив в различных сферах общественной жизни.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Еще одно определение трансграничного сотрудничества вытекает из сути Мадридской конвенции Совета Европы 1980 года, иных документов и мнения некоторых практиков и исследователей</w:t>
      </w:r>
      <w:r>
        <w:rPr>
          <w:rStyle w:val="norm1"/>
          <w:rFonts w:ascii="Arial" w:hAnsi="Arial" w:cs="Arial"/>
          <w:color w:val="4D4D4F"/>
          <w:sz w:val="22"/>
          <w:szCs w:val="22"/>
        </w:rPr>
        <w:t>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4"/>
          <w:rFonts w:ascii="Arial" w:hAnsi="Arial" w:cs="Arial"/>
          <w:color w:val="4D4D4F"/>
          <w:sz w:val="27"/>
          <w:szCs w:val="27"/>
        </w:rPr>
        <w:t>Трансграничное сотрудничество – это сотрудничество между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приграничными</w:t>
      </w:r>
      <w:r>
        <w:rPr>
          <w:rStyle w:val="apple-converted-space"/>
          <w:rFonts w:ascii="Arial" w:hAnsi="Arial" w:cs="Arial"/>
          <w:b/>
          <w:bCs/>
          <w:i/>
          <w:iCs/>
          <w:color w:val="4D4D4F"/>
          <w:sz w:val="22"/>
          <w:szCs w:val="22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>территориальными общинами или властями в отраслях регионального и местного развития, охрана окружающей среды, оптимизация деятельности предприятий коммунального обслуживания, координация деятельности в случае чрезвычайных ситуаций, направленное на экономический и социальный прогресс таких территорий и</w:t>
      </w:r>
      <w:r>
        <w:rPr>
          <w:rStyle w:val="apple-converted-space"/>
          <w:rFonts w:ascii="Arial" w:hAnsi="Arial" w:cs="Arial"/>
          <w:i/>
          <w:iCs/>
          <w:color w:val="4D4D4F"/>
          <w:sz w:val="27"/>
          <w:szCs w:val="27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укрепление солидарности, которая объединяет народы Европы.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Кроме этого, статья 2 вышеуказанной Конвенции, прямо определяет значение термина «трансграничное сотрудничество» , так как его следует понимать с точки зрения Конвенции, а также основной метод его осуществления.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4"/>
          <w:rFonts w:ascii="Arial" w:hAnsi="Arial" w:cs="Arial"/>
          <w:color w:val="4D4D4F"/>
          <w:sz w:val="27"/>
          <w:szCs w:val="27"/>
        </w:rPr>
        <w:t>Трансграничное сотрудничество означает любые совместные действия, направленные на усиление или углубление добрососедских отношений между территориальными общинами или властями, которые находятся под юрисдикцией двух или нескольких государств и подписание с этой целью каких-либо соглашений или достижение договоренностей.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Однако, по нашему мнению, идентичность терминов «приграничное сотрудничество» и «трансграничное сотрудничество», а равно как и применение термина «трансграничное сотрудничество» для обозначения системы связей между приграничными территориями верно только в широком смысле.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lastRenderedPageBreak/>
        <w:t>В более узком, специальном смысле необходимо можно предложить дифференцировать эти два понятия по географическому принципу. Так,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4"/>
          <w:rFonts w:ascii="Arial" w:hAnsi="Arial" w:cs="Arial"/>
          <w:color w:val="4D4D4F"/>
          <w:sz w:val="27"/>
          <w:szCs w:val="27"/>
        </w:rPr>
        <w:t>Приграничное сотрудничество – это сотрудничество между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пограничными</w:t>
      </w:r>
      <w:r>
        <w:rPr>
          <w:rStyle w:val="apple-converted-space"/>
          <w:rFonts w:ascii="Arial" w:hAnsi="Arial" w:cs="Arial"/>
          <w:i/>
          <w:iCs/>
          <w:color w:val="4D4D4F"/>
          <w:sz w:val="27"/>
          <w:szCs w:val="27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>(находящимися в непосредственной близости государственных границ) территориальными общинами и их властями направленное на установление и гармонизацию добрососедских отношений, а также развитие стойких системных инициатив в политической, культурной, экономической и социальной сферах.</w:t>
      </w:r>
      <w:r>
        <w:rPr>
          <w:rStyle w:val="apple-converted-space"/>
          <w:rFonts w:ascii="Arial" w:hAnsi="Arial" w:cs="Arial"/>
          <w:i/>
          <w:iCs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Например сотрудничество между регионом Прованс - Лазурный Берег (Франция) и областью Лигурия (Италия); областью Хайду-Бигор (Венгрия) и Бигор (Румыния)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4"/>
          <w:rFonts w:ascii="Arial" w:hAnsi="Arial" w:cs="Arial"/>
          <w:color w:val="4D4D4F"/>
          <w:sz w:val="27"/>
          <w:szCs w:val="27"/>
        </w:rPr>
        <w:t>Трансграничное сотрудничество – это сотрудничество между</w:t>
      </w:r>
      <w:r>
        <w:rPr>
          <w:rStyle w:val="apple-converted-space"/>
          <w:rFonts w:ascii="Arial" w:hAnsi="Arial" w:cs="Arial"/>
          <w:i/>
          <w:iCs/>
          <w:color w:val="4D4D4F"/>
          <w:sz w:val="27"/>
          <w:szCs w:val="27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не пограничными</w:t>
      </w:r>
      <w:r>
        <w:rPr>
          <w:rStyle w:val="apple-converted-space"/>
          <w:rFonts w:ascii="Arial" w:hAnsi="Arial" w:cs="Arial"/>
          <w:b/>
          <w:bCs/>
          <w:i/>
          <w:iCs/>
          <w:color w:val="4D4D4F"/>
          <w:sz w:val="27"/>
          <w:szCs w:val="27"/>
        </w:rPr>
        <w:t> </w:t>
      </w:r>
      <w:r>
        <w:rPr>
          <w:rStyle w:val="a4"/>
          <w:rFonts w:ascii="Arial" w:hAnsi="Arial" w:cs="Arial"/>
          <w:color w:val="4D4D4F"/>
          <w:sz w:val="22"/>
          <w:szCs w:val="22"/>
        </w:rPr>
        <w:t>(</w:t>
      </w:r>
      <w:r>
        <w:rPr>
          <w:rStyle w:val="a4"/>
          <w:rFonts w:ascii="Arial" w:hAnsi="Arial" w:cs="Arial"/>
          <w:color w:val="4D4D4F"/>
          <w:sz w:val="27"/>
          <w:szCs w:val="27"/>
        </w:rPr>
        <w:t>не имеющими совместной границы между собой</w:t>
      </w:r>
      <w:r>
        <w:rPr>
          <w:rStyle w:val="a4"/>
          <w:rFonts w:ascii="Arial" w:hAnsi="Arial" w:cs="Arial"/>
          <w:color w:val="4D4D4F"/>
          <w:sz w:val="22"/>
          <w:szCs w:val="22"/>
        </w:rPr>
        <w:t>)</w:t>
      </w:r>
      <w:r>
        <w:rPr>
          <w:rStyle w:val="a4"/>
          <w:rFonts w:ascii="Arial" w:hAnsi="Arial" w:cs="Arial"/>
          <w:color w:val="4D4D4F"/>
          <w:sz w:val="27"/>
          <w:szCs w:val="27"/>
        </w:rPr>
        <w:t>территориальными общинами и их властями направленное на установление межтерриториальных отношений, а также развитие стойких системных инициатив в политической, культурной, экономической и социальной сферах.</w:t>
      </w:r>
      <w:r>
        <w:rPr>
          <w:rStyle w:val="apple-converted-space"/>
          <w:rFonts w:ascii="Arial" w:hAnsi="Arial" w:cs="Arial"/>
          <w:i/>
          <w:iCs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Например сотрудничество между регионом Кастилия-Леон (Испания) и Шотландией (Великобритания); областью Саболч-Сатмар-Берег (Венгрия) и Подкарпатским воеводством (Польша)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Необходимо заметить, что такое предложение классификации есть попыткой разграничить по сути один вид международных отношений, с целью его уточнения в зависимости от географического фактора. Так, общеизвестно, что формы и содержание взаимоотношений между непосредственно граничащими между собой территориями потенциально распространяются на гораздо большее количество сфер и по сути должны быть более интенсивными и глубокими нежели взаимоотношения между внутренними областями разных стран.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Сама терминология, употребленная в данном случае, также есть, до определенной степени, условна. Так термин «трансграничное» является с филологической точки зрения словом иностранного происхождения, в котором приставка «транс» обозначает, в переводе с латыни «через», «по ту сторону», «пересекающее что-то», в смысле отдаленно, не непосредственно рядом.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То есть «трансграничное сотрудничество» есть сотрудничеством распространяющимся за границу, в данному случае направленном в глубь страны.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2"/>
          <w:szCs w:val="22"/>
        </w:rPr>
        <w:lastRenderedPageBreak/>
        <w:t>3.</w:t>
      </w:r>
      <w:r>
        <w:rPr>
          <w:rStyle w:val="apple-converted-space"/>
          <w:rFonts w:ascii="Arial" w:hAnsi="Arial" w:cs="Arial"/>
          <w:b/>
          <w:bCs/>
          <w:i/>
          <w:iCs/>
          <w:color w:val="4D4D4F"/>
          <w:sz w:val="22"/>
          <w:szCs w:val="22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Еврорегионы, как институты</w:t>
      </w:r>
      <w:r>
        <w:rPr>
          <w:rStyle w:val="a3"/>
          <w:rFonts w:ascii="Arial" w:hAnsi="Arial" w:cs="Arial"/>
          <w:i/>
          <w:iCs/>
          <w:color w:val="4D4D4F"/>
          <w:sz w:val="22"/>
          <w:szCs w:val="22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4D4D4F"/>
          <w:sz w:val="27"/>
          <w:szCs w:val="27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способствующие приграничному (трансграничному) сотрудничеству.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Одной из основных тенденций современного мира на сегодняшнем этапе его развития, является глобализация и объединение в различные союзы политического и экономического характера. В такой ситуации существенно возрастает роль внешних сношений между отдельными субъектами сотрудничества, а также дипломатических инструментов ( институциональных и функциональных) при помощи которых они осуществляются.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Проблема установления и развития внешних сношений на сегодня актуальна как для отдельных субъектов международного права (государств и международных организаций с их участием), региональных объединений государств, основанных на геополитической общности, а также административно-территориальных единиц либо субъектов федерации отдельных государств</w:t>
      </w:r>
      <w:r>
        <w:rPr>
          <w:rStyle w:val="norm1"/>
          <w:rFonts w:ascii="Arial" w:hAnsi="Arial" w:cs="Arial"/>
          <w:color w:val="4D4D4F"/>
          <w:sz w:val="22"/>
          <w:szCs w:val="22"/>
        </w:rPr>
        <w:t>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Таким образом можно выделить такие основные уровни внешнего сотрудничества ( с точки зрения государства, как субъекта международного права):</w:t>
      </w:r>
    </w:p>
    <w:p w:rsidR="00F3083F" w:rsidRDefault="00F3083F" w:rsidP="00F3083F">
      <w:pPr>
        <w:pStyle w:val="a5"/>
        <w:numPr>
          <w:ilvl w:val="0"/>
          <w:numId w:val="1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Рамочный уровень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- сотрудничество в рамках международных организациях универсального характера, в состав которых входит достаточно большое количество государств отдельного континента, нескольких континентов либо планеты в целом. В качестве примера можно привести сотрудничество в рамках ООН на мировом уровне, в рамках ПАСЕ – на европейском континенте;</w:t>
      </w:r>
    </w:p>
    <w:p w:rsidR="00F3083F" w:rsidRDefault="00F3083F" w:rsidP="00F3083F">
      <w:pPr>
        <w:pStyle w:val="a5"/>
        <w:numPr>
          <w:ilvl w:val="0"/>
          <w:numId w:val="1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Макро региональный уровень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– сотрудничество в рамках международных организаций или иных уставных ( либо договорных) институтах, как правило универсального характера, в состав которых входят государства отдельного макро региона, которые объединены общностью исторического прошлого, экономическими, политическими и культурными связями. В качестве примера можно привести Евросоюз либо организацию Вишеградской четверки.</w:t>
      </w:r>
    </w:p>
    <w:p w:rsidR="00F3083F" w:rsidRDefault="00F3083F" w:rsidP="00F3083F">
      <w:pPr>
        <w:pStyle w:val="a5"/>
        <w:numPr>
          <w:ilvl w:val="0"/>
          <w:numId w:val="1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Межгосударственный (межправительственный) уровень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– сотрудничество между отдельными государствами и их правительствами, направленное на установление и поддержание отношений в определенных сферах на взаимовыгодной основе.</w:t>
      </w:r>
    </w:p>
    <w:p w:rsidR="00F3083F" w:rsidRDefault="00F3083F" w:rsidP="00F3083F">
      <w:pPr>
        <w:pStyle w:val="a5"/>
        <w:numPr>
          <w:ilvl w:val="0"/>
          <w:numId w:val="1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Микро региональный (межмуниципальный) уровень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– продолжение межгосударственных отношений на уровне административно-территориальных единиц различных уровней. Нередко такая форма сотрудничества основана на общем </w:t>
      </w:r>
      <w:r>
        <w:rPr>
          <w:rStyle w:val="norm1"/>
          <w:rFonts w:ascii="Arial" w:hAnsi="Arial" w:cs="Arial"/>
          <w:color w:val="4D4D4F"/>
          <w:sz w:val="27"/>
          <w:szCs w:val="27"/>
        </w:rPr>
        <w:lastRenderedPageBreak/>
        <w:t>историческом прошлом сотрудничающих территорий, их стойких совместных экономических, культурных, экологических и социальных интересов. Данный уровень является базовым для осуществления приграничного и трансграничного сотрудничества и подразделяется</w:t>
      </w:r>
      <w:r>
        <w:rPr>
          <w:rStyle w:val="norm1"/>
          <w:rFonts w:ascii="Arial" w:hAnsi="Arial" w:cs="Arial"/>
          <w:color w:val="4D4D4F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в свою очередь</w:t>
      </w:r>
      <w:r>
        <w:rPr>
          <w:rStyle w:val="norm1"/>
          <w:rFonts w:ascii="Arial" w:hAnsi="Arial" w:cs="Arial"/>
          <w:color w:val="4D4D4F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на несколько подвидов</w:t>
      </w:r>
      <w:r>
        <w:rPr>
          <w:rStyle w:val="norm1"/>
          <w:rFonts w:ascii="Arial" w:hAnsi="Arial" w:cs="Arial"/>
          <w:color w:val="4D4D4F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в зависимости от уровня участвующих в нем территорий</w:t>
      </w:r>
      <w:r>
        <w:rPr>
          <w:rStyle w:val="norm1"/>
          <w:rFonts w:ascii="Arial" w:hAnsi="Arial" w:cs="Arial"/>
          <w:color w:val="4D4D4F"/>
          <w:sz w:val="22"/>
          <w:szCs w:val="22"/>
        </w:rPr>
        <w:t>: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ind w:left="363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- Региональный подуровень;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ind w:left="363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- Промежуточный (окружной) подуровень;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ind w:left="363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- Местный подуровень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Касательно последнего (микро регионального) уровня сотрудничества,наблюдается все большее возрастание его значения в инструментарии национальных дипломатий многих, прежде всего европейских стран. Такое положение вещей обосновано рядом факторов:</w:t>
      </w:r>
    </w:p>
    <w:p w:rsidR="00F3083F" w:rsidRDefault="00F3083F" w:rsidP="00F3083F">
      <w:pPr>
        <w:pStyle w:val="norm"/>
        <w:numPr>
          <w:ilvl w:val="0"/>
          <w:numId w:val="2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во-первых, одним из основных концептуальных начал построения Объединенной Европы является принцип «Европа регионов», согласно которому базовым элементом Европейского союза, как государственного организма, будут отдельные регионы, входящих в его состав стран, которые отвечают определенным критериям и являются в целом само достаточными организмами. Таким образом, акценты во внешнем сотрудничестве должны постепенно смещаться на региональный уровень</w:t>
      </w:r>
    </w:p>
    <w:p w:rsidR="00F3083F" w:rsidRDefault="00F3083F" w:rsidP="00F3083F">
      <w:pPr>
        <w:pStyle w:val="norm"/>
        <w:numPr>
          <w:ilvl w:val="0"/>
          <w:numId w:val="2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Во-вторых, решение многих вопросов, касающихся непосредственно отдельных территориальных единиц, на региональном уровне более рационально, оперативно и эффективно.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На сегодняшний день на микро региональном уровне наблюдается ряд институциональных и функциональных инструментов решения задач в сфере внешних сношений. Одни из них являются инструментами универсального характера, иные – одно векторного.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Среди основных инструментов приграничного и трансграничного микро регионального сотрудничества следует выделить следующие: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2"/>
          <w:szCs w:val="22"/>
        </w:rPr>
        <w:lastRenderedPageBreak/>
        <w:t>1)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Еврорегионы - организации приграничного (трансграничного) межрегионального (межмуниципального) сотрудничества, а также решение совместных проблем определенных учредительными документами и в которые входят территории трех и более государств.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2"/>
          <w:szCs w:val="22"/>
        </w:rPr>
        <w:t>2)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>Билатеральные организации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- организации трансграничного межрегионального(межмуниципального) сотрудничества, которые имеют своей целью установление, а также укрепление добрососедских отношений, а также решение совместных проблем, определенных учредительными документами и в которые входят территории двух сопредельных государств.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2"/>
          <w:szCs w:val="22"/>
        </w:rPr>
        <w:t>3)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>Договора о сотрудничестве в определенных сферах, предусматривающие создание институтов координации действий</w:t>
      </w:r>
      <w:r>
        <w:rPr>
          <w:rStyle w:val="norm1"/>
          <w:rFonts w:ascii="Arial" w:hAnsi="Arial" w:cs="Arial"/>
          <w:color w:val="4D4D4F"/>
          <w:sz w:val="22"/>
          <w:szCs w:val="22"/>
        </w:rPr>
        <w:t>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2"/>
          <w:szCs w:val="22"/>
        </w:rPr>
        <w:t>4)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>Договора о сотрудничестве в определенных сферах между сопредельными и не сопредельными территориями, не предусматривающие создание институтов координации действий.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Наиболее универсальным, обладающим большим потенциалом институтом из всех вышеназванных является еврорегион</w:t>
      </w:r>
      <w:r>
        <w:rPr>
          <w:rStyle w:val="norm1"/>
          <w:rFonts w:ascii="Arial" w:hAnsi="Arial" w:cs="Arial"/>
          <w:color w:val="4D4D4F"/>
          <w:sz w:val="22"/>
          <w:szCs w:val="22"/>
        </w:rPr>
        <w:t>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В Центральной Европе возникновение подобного рода организаций началось в 90-е годы прошлого века. Одними из первых были еврорегионы основанные на польско-германско-чехословацкой границе, венгерско-австрийко-словенской-хорватской границе, на стыке венгерского, словацкого, украинского, румынского и польского пограничья.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a4"/>
          <w:rFonts w:ascii="Arial" w:hAnsi="Arial" w:cs="Arial"/>
          <w:color w:val="4D4D4F"/>
          <w:sz w:val="27"/>
          <w:szCs w:val="27"/>
        </w:rPr>
        <w:t>Основная цель, которая ставилась перед центрально-европейскими еврорегионами, была гармонизация отношений между соседними территориями,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снижение негативного эффекта границы, учитывая, что ее прохождение не всегда обуславливалось этническими либо историческими факторами.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Кроме этого еврорегион должен был стать институциональным инструментом, способствующим сотрудничеству в различных сферах общественной жизни, которые затрагивают интересы принимающих в нем участие сторон.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Таким образом,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 xml:space="preserve">еврорегионы должны были стать инструментом внешней политики отдельных суверенных государств, стремящихся к </w:t>
      </w:r>
      <w:r>
        <w:rPr>
          <w:rStyle w:val="a4"/>
          <w:rFonts w:ascii="Arial" w:hAnsi="Arial" w:cs="Arial"/>
          <w:color w:val="4D4D4F"/>
          <w:sz w:val="27"/>
          <w:szCs w:val="27"/>
        </w:rPr>
        <w:lastRenderedPageBreak/>
        <w:t>установлению и поддержанию добрососедских отношений, проявляющимся на региональном (муниципальном) уровне.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Необходимо отметить, что некоторые еврорегионы, как правило муниципального уровня (напр.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2"/>
          <w:szCs w:val="22"/>
        </w:rPr>
        <w:t>Nisa,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2"/>
          <w:szCs w:val="22"/>
        </w:rPr>
        <w:t>Pro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2"/>
          <w:szCs w:val="22"/>
        </w:rPr>
        <w:t>Europa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2"/>
          <w:szCs w:val="22"/>
        </w:rPr>
        <w:t>Viadrina</w:t>
      </w:r>
      <w:r>
        <w:rPr>
          <w:rStyle w:val="norm1"/>
          <w:rFonts w:ascii="Arial" w:hAnsi="Arial" w:cs="Arial"/>
          <w:color w:val="4D4D4F"/>
          <w:sz w:val="27"/>
          <w:szCs w:val="27"/>
        </w:rPr>
        <w:t>), создаваемые без поддержки и опеки национальных правительств (в основном польско-германско-чешская границы) создавались, по планам их основателей с менее высокой целью: например для решения каких-либо локальных вопросов в определенных сферах (туризм, экология, развитие коммунальных инфраструктур). Однако, сами того не замечая, их взаимодействие в целом, хотя бы косвенно, положительно сказывалось для достижения вышеуказанных целей.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На сегодняшний день можно довольно смело констатировать, что достижение главной цели, гармонизации отношений между соседними территориями, населяющими их гражданами и правительствами этих территорий, в большинстве действующих еврорегионах достигнуто. Так, в том числе благодаря деятельности в рамках еврорегионов, не стали очагом конфликтов потенциально опасные в этом плане территории в районе Восточных Карпат, бассейне реки Тиса, (зона деятельности Карпатского еврорегиона), Судетских гор ( зона деятельности еврорегиона</w:t>
      </w:r>
      <w:r>
        <w:rPr>
          <w:rStyle w:val="norm1"/>
          <w:rFonts w:ascii="Arial" w:hAnsi="Arial" w:cs="Arial"/>
          <w:color w:val="4D4D4F"/>
          <w:sz w:val="22"/>
          <w:szCs w:val="22"/>
        </w:rPr>
        <w:t>Nisa)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и т.д.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Положительный опыт деятельности еврорегионов подтверждается также и тем, что на сегодняшний день при покровительстве и посредничестве солидных международных организаций, таких как Совет Европы, Пакт Стабильности и т.д., предпринимаются действия, направленный на создания еврорегионов в Юго-Восточной Европе, на Балканском полуострове, с целями, которые были изложены выше</w:t>
      </w:r>
      <w:bookmarkStart w:id="0" w:name="sdfootnote1anc"/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fldChar w:fldCharType="begin"/>
      </w:r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instrText xml:space="preserve"> HYPERLINK "http://www.alenpanov.org.ua/" \l "sdfootnote1sym" </w:instrText>
      </w:r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fldChar w:fldCharType="separate"/>
      </w:r>
      <w:r>
        <w:rPr>
          <w:rStyle w:val="a6"/>
          <w:rFonts w:ascii="Arial" w:hAnsi="Arial" w:cs="Arial"/>
          <w:color w:val="4D4D4F"/>
          <w:sz w:val="22"/>
          <w:szCs w:val="22"/>
          <w:vertAlign w:val="superscript"/>
        </w:rPr>
        <w:t>1</w:t>
      </w:r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fldChar w:fldCharType="end"/>
      </w:r>
      <w:bookmarkEnd w:id="0"/>
      <w:r>
        <w:rPr>
          <w:rStyle w:val="norm1"/>
          <w:rFonts w:ascii="Arial" w:hAnsi="Arial" w:cs="Arial"/>
          <w:color w:val="4D4D4F"/>
          <w:sz w:val="22"/>
          <w:szCs w:val="22"/>
        </w:rPr>
        <w:t>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Среди сильных сторон деятельности еврорегионов следует отметить такие:</w:t>
      </w:r>
    </w:p>
    <w:p w:rsidR="00F3083F" w:rsidRDefault="00F3083F" w:rsidP="00F3083F">
      <w:pPr>
        <w:pStyle w:val="norm"/>
        <w:numPr>
          <w:ilvl w:val="0"/>
          <w:numId w:val="3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относительно высоких организационный уровень их деятельности - наличие уставных документов, построение структуры руководящих и рабочих органов);</w:t>
      </w:r>
    </w:p>
    <w:p w:rsidR="00F3083F" w:rsidRDefault="00F3083F" w:rsidP="00F3083F">
      <w:pPr>
        <w:pStyle w:val="norm"/>
        <w:numPr>
          <w:ilvl w:val="0"/>
          <w:numId w:val="3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установление достаточно интенсивных связей между органами власти и самоуправления регионов, которые являются их участниками;</w:t>
      </w:r>
    </w:p>
    <w:p w:rsidR="00F3083F" w:rsidRDefault="00F3083F" w:rsidP="00F3083F">
      <w:pPr>
        <w:pStyle w:val="norm"/>
        <w:numPr>
          <w:ilvl w:val="0"/>
          <w:numId w:val="3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неплохой объем информации о приграничном и трансграничном сотрудничестве, сотрудничестве с международными информациями, общем состоянии дел в различных сферах общественной жизни соседних стран;</w:t>
      </w:r>
    </w:p>
    <w:p w:rsidR="00F3083F" w:rsidRDefault="00F3083F" w:rsidP="00F3083F">
      <w:pPr>
        <w:pStyle w:val="norm"/>
        <w:numPr>
          <w:ilvl w:val="0"/>
          <w:numId w:val="3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lastRenderedPageBreak/>
        <w:t>определение точек соприкосновения в приграничном и трансграничном сотрудничестве, мониторинг проблем и поиск путей их решения;</w:t>
      </w:r>
    </w:p>
    <w:p w:rsidR="00F3083F" w:rsidRDefault="00F3083F" w:rsidP="00F3083F">
      <w:pPr>
        <w:pStyle w:val="norm"/>
        <w:numPr>
          <w:ilvl w:val="0"/>
          <w:numId w:val="3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опыт в решении некоторых совместных проблем и в осуществлении совместных программ;</w:t>
      </w:r>
    </w:p>
    <w:p w:rsidR="00F3083F" w:rsidRDefault="00F3083F" w:rsidP="00F3083F">
      <w:pPr>
        <w:pStyle w:val="norm"/>
        <w:numPr>
          <w:ilvl w:val="0"/>
          <w:numId w:val="3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политическая и материальная поддержка со стороны европейских организаций;</w:t>
      </w:r>
    </w:p>
    <w:p w:rsidR="00F3083F" w:rsidRDefault="00F3083F" w:rsidP="00F3083F">
      <w:pPr>
        <w:pStyle w:val="a5"/>
        <w:numPr>
          <w:ilvl w:val="0"/>
          <w:numId w:val="3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создание структур способствующих развитию приграничного (трансграничного) сотрудничества.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Тем не менее, существует ряд иных целей, которые в результате деятельности еврорегионов не достигнуты, либо не ставились перед ними вообще. Учитывая хороший организационный потенциал, имеющиеся связи, опыт в решении некоторых конкретных проблем на сегодняшний день представляется возможным рассматривать еврорегионы в качестве основных универсальных инструментов приграничного (трансграничного) сотрудничества.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При этом, имеет смысл несколько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скорректировать цели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стоящие перед этими институтами, в направлении двух основных направлениях:</w:t>
      </w:r>
    </w:p>
    <w:p w:rsidR="00F3083F" w:rsidRDefault="00F3083F" w:rsidP="00F3083F">
      <w:pPr>
        <w:pStyle w:val="a5"/>
        <w:numPr>
          <w:ilvl w:val="0"/>
          <w:numId w:val="4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Продолжение выполнения внешнеполитических задач в контексте пан - Европейского объединительного процесса</w:t>
      </w:r>
      <w:r>
        <w:rPr>
          <w:rStyle w:val="norm1"/>
          <w:rFonts w:ascii="Arial" w:hAnsi="Arial" w:cs="Arial"/>
          <w:color w:val="4D4D4F"/>
          <w:sz w:val="22"/>
          <w:szCs w:val="22"/>
        </w:rPr>
        <w:t>.</w:t>
      </w:r>
    </w:p>
    <w:p w:rsidR="00F3083F" w:rsidRDefault="00F3083F" w:rsidP="00F3083F">
      <w:pPr>
        <w:pStyle w:val="norm"/>
        <w:numPr>
          <w:ilvl w:val="0"/>
          <w:numId w:val="4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Экономизация целей еврорегиона, формулировка новых задач во внешнеэкономической сфере и сфере регионального развития.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Исходя из возможной постановки таких стратегических целей, на сегодня можно ставить перед еврорегионами следующие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задачи:</w:t>
      </w:r>
    </w:p>
    <w:p w:rsidR="00F3083F" w:rsidRDefault="00F3083F" w:rsidP="00F3083F">
      <w:pPr>
        <w:pStyle w:val="norm"/>
        <w:numPr>
          <w:ilvl w:val="0"/>
          <w:numId w:val="5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Поддержание и углубление добрососедских отношений между пограничными территориальными единицами;</w:t>
      </w:r>
    </w:p>
    <w:p w:rsidR="00F3083F" w:rsidRDefault="00F3083F" w:rsidP="00F3083F">
      <w:pPr>
        <w:pStyle w:val="norm"/>
        <w:numPr>
          <w:ilvl w:val="0"/>
          <w:numId w:val="5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Использование рабочих органов еврорегионов в качестве центров привлечения информации о деятельности государственных органов и хозяйственных субъектов отдельных стран, международных организаций, процессов происходящих в Европе, о способах решения проблем в отдельных сферах жизнедеятельности, анализ опыта и моделирование его применения в современных условиях;</w:t>
      </w:r>
    </w:p>
    <w:p w:rsidR="00F3083F" w:rsidRDefault="00F3083F" w:rsidP="00F3083F">
      <w:pPr>
        <w:pStyle w:val="norm"/>
        <w:numPr>
          <w:ilvl w:val="0"/>
          <w:numId w:val="5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 xml:space="preserve">Превращение еврорегионов в информационно-методические центры приграничного и трансграничного сотрудничества, </w:t>
      </w:r>
      <w:r>
        <w:rPr>
          <w:rFonts w:ascii="Arial" w:hAnsi="Arial" w:cs="Arial"/>
          <w:color w:val="4D4D4F"/>
          <w:sz w:val="27"/>
          <w:szCs w:val="27"/>
        </w:rPr>
        <w:lastRenderedPageBreak/>
        <w:t>способствующие нахождению партнеров, установлению связей между ними;</w:t>
      </w:r>
    </w:p>
    <w:p w:rsidR="00F3083F" w:rsidRDefault="00F3083F" w:rsidP="00F3083F">
      <w:pPr>
        <w:pStyle w:val="norm"/>
        <w:numPr>
          <w:ilvl w:val="0"/>
          <w:numId w:val="5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Учитывая наличие информации и связей, использование еврорегионов в качестве посреднических структур в привлечении инвестиций и донорского потенциала в страну;</w:t>
      </w:r>
    </w:p>
    <w:p w:rsidR="00F3083F" w:rsidRDefault="00F3083F" w:rsidP="00F3083F">
      <w:pPr>
        <w:pStyle w:val="norm"/>
        <w:numPr>
          <w:ilvl w:val="0"/>
          <w:numId w:val="5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Использование еврорегионов и его рабочих органов в качестве структуры, которая формирует позитивный имидж страны и ее регионов;</w:t>
      </w:r>
    </w:p>
    <w:p w:rsidR="00F3083F" w:rsidRDefault="00F3083F" w:rsidP="00F3083F">
      <w:pPr>
        <w:pStyle w:val="a5"/>
        <w:numPr>
          <w:ilvl w:val="0"/>
          <w:numId w:val="5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Использование лоббистких возможностей евро</w:t>
      </w:r>
      <w:r>
        <w:rPr>
          <w:rStyle w:val="norm1"/>
          <w:rFonts w:ascii="Arial" w:hAnsi="Arial" w:cs="Arial"/>
          <w:color w:val="4D4D4F"/>
          <w:sz w:val="22"/>
          <w:szCs w:val="22"/>
        </w:rPr>
        <w:t>4</w:t>
      </w:r>
      <w:r>
        <w:rPr>
          <w:rStyle w:val="norm1"/>
          <w:rFonts w:ascii="Arial" w:hAnsi="Arial" w:cs="Arial"/>
          <w:color w:val="4D4D4F"/>
          <w:sz w:val="27"/>
          <w:szCs w:val="27"/>
        </w:rPr>
        <w:t>региона, прежде всего относительно европейских структур</w:t>
      </w:r>
    </w:p>
    <w:p w:rsidR="00F3083F" w:rsidRDefault="00F3083F" w:rsidP="00F3083F">
      <w:pPr>
        <w:pStyle w:val="norm"/>
        <w:numPr>
          <w:ilvl w:val="0"/>
          <w:numId w:val="5"/>
        </w:numPr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7"/>
          <w:szCs w:val="27"/>
        </w:rPr>
        <w:t>Превращение еврорегионов в организаторов и партнеров различных международных проектов, учитывая их потенциал и опыт в решении разноплановых вопросов в сфере приграничного ( трансграничного) сотрудничества.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Естественно, что приведенный выше список является открытым, его можно продолжить в зависимости от тех задач, которое выдвинет перед внешней политикой время</w:t>
      </w:r>
      <w:r>
        <w:rPr>
          <w:rStyle w:val="norm1"/>
          <w:rFonts w:ascii="Arial" w:hAnsi="Arial" w:cs="Arial"/>
          <w:color w:val="4D4D4F"/>
          <w:sz w:val="22"/>
          <w:szCs w:val="22"/>
        </w:rPr>
        <w:t>.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В целом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необходимо заметить, что еврорегион является жизнеспособным и достаточно эффективным инструментом внешней политики, способным адаптироваться и изменяться в зависимости от существующей на определенный момент ситуации, корректировать цели и способы действия, чем самым (при правильном использовании) может принести определенную пользу в достижении внешних стратегических задач страны.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right"/>
        <w:rPr>
          <w:rFonts w:ascii="Arial" w:hAnsi="Arial" w:cs="Arial"/>
          <w:color w:val="4D4D4F"/>
          <w:sz w:val="22"/>
          <w:szCs w:val="22"/>
          <w:lang w:val="uk-UA"/>
        </w:rPr>
      </w:pPr>
      <w:r>
        <w:rPr>
          <w:rFonts w:ascii="Arial" w:hAnsi="Arial" w:cs="Arial"/>
          <w:color w:val="4D4D4F"/>
          <w:sz w:val="22"/>
          <w:szCs w:val="22"/>
          <w:lang w:val="uk-UA"/>
        </w:rPr>
        <w:t> 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right"/>
        <w:rPr>
          <w:rFonts w:ascii="Arial" w:hAnsi="Arial" w:cs="Arial"/>
          <w:color w:val="4D4D4F"/>
          <w:sz w:val="22"/>
          <w:szCs w:val="22"/>
          <w:lang w:val="uk-UA"/>
        </w:rPr>
      </w:pPr>
      <w:r>
        <w:rPr>
          <w:rFonts w:ascii="Arial" w:hAnsi="Arial" w:cs="Arial"/>
          <w:color w:val="4D4D4F"/>
          <w:sz w:val="22"/>
          <w:szCs w:val="22"/>
          <w:lang w:val="uk-UA"/>
        </w:rPr>
        <w:t> </w:t>
      </w:r>
    </w:p>
    <w:p w:rsidR="00F3083F" w:rsidRDefault="00F3083F" w:rsidP="00F3083F">
      <w:pPr>
        <w:pStyle w:val="norm"/>
        <w:shd w:val="clear" w:color="auto" w:fill="EFF0F2"/>
        <w:spacing w:after="0" w:afterAutospacing="0" w:line="332" w:lineRule="atLeast"/>
        <w:jc w:val="right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Ален Панов,</w:t>
      </w:r>
    </w:p>
    <w:p w:rsidR="00F3083F" w:rsidRDefault="00F3083F" w:rsidP="00F3083F">
      <w:pPr>
        <w:pStyle w:val="a5"/>
        <w:shd w:val="clear" w:color="auto" w:fill="EFF0F2"/>
        <w:spacing w:after="0" w:afterAutospacing="0" w:line="332" w:lineRule="atLeast"/>
        <w:jc w:val="right"/>
        <w:rPr>
          <w:rFonts w:ascii="Arial" w:hAnsi="Arial" w:cs="Arial"/>
          <w:color w:val="4D4D4F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Представитель Украины в</w:t>
      </w:r>
      <w:r>
        <w:rPr>
          <w:rStyle w:val="apple-converted-space"/>
          <w:rFonts w:ascii="Arial" w:hAnsi="Arial" w:cs="Arial"/>
          <w:b/>
          <w:bCs/>
          <w:i/>
          <w:iCs/>
          <w:color w:val="4D4D4F"/>
          <w:sz w:val="22"/>
          <w:szCs w:val="22"/>
        </w:rPr>
        <w:t> </w:t>
      </w: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Карпатском еврорегионе</w:t>
      </w:r>
    </w:p>
    <w:bookmarkStart w:id="1" w:name="sdfootnote1sym"/>
    <w:p w:rsidR="00F3083F" w:rsidRDefault="00F3083F" w:rsidP="00F3083F">
      <w:pPr>
        <w:pStyle w:val="a5"/>
        <w:shd w:val="clear" w:color="auto" w:fill="EFF0F2"/>
        <w:jc w:val="both"/>
        <w:rPr>
          <w:rFonts w:ascii="Arial" w:hAnsi="Arial" w:cs="Arial"/>
          <w:color w:val="4D4D4F"/>
          <w:sz w:val="22"/>
          <w:szCs w:val="22"/>
        </w:rPr>
      </w:pPr>
      <w:r>
        <w:rPr>
          <w:rStyle w:val="norm1"/>
          <w:rFonts w:ascii="Arial" w:hAnsi="Arial" w:cs="Arial"/>
          <w:color w:val="4D4D4F"/>
          <w:sz w:val="22"/>
          <w:szCs w:val="22"/>
        </w:rPr>
        <w:fldChar w:fldCharType="begin"/>
      </w:r>
      <w:r>
        <w:rPr>
          <w:rStyle w:val="norm1"/>
          <w:rFonts w:ascii="Arial" w:hAnsi="Arial" w:cs="Arial"/>
          <w:color w:val="4D4D4F"/>
          <w:sz w:val="22"/>
          <w:szCs w:val="22"/>
        </w:rPr>
        <w:instrText xml:space="preserve"> HYPERLINK "http://www.alenpanov.org.ua/" \l "sdfootnote1anc" </w:instrText>
      </w:r>
      <w:r>
        <w:rPr>
          <w:rStyle w:val="norm1"/>
          <w:rFonts w:ascii="Arial" w:hAnsi="Arial" w:cs="Arial"/>
          <w:color w:val="4D4D4F"/>
          <w:sz w:val="22"/>
          <w:szCs w:val="22"/>
        </w:rPr>
        <w:fldChar w:fldCharType="separate"/>
      </w:r>
      <w:r>
        <w:rPr>
          <w:rStyle w:val="a6"/>
          <w:rFonts w:ascii="Arial" w:hAnsi="Arial" w:cs="Arial"/>
          <w:color w:val="4D4D4F"/>
          <w:sz w:val="22"/>
          <w:szCs w:val="22"/>
        </w:rPr>
        <w:t>1</w:t>
      </w:r>
      <w:r>
        <w:rPr>
          <w:rStyle w:val="norm1"/>
          <w:rFonts w:ascii="Arial" w:hAnsi="Arial" w:cs="Arial"/>
          <w:color w:val="4D4D4F"/>
          <w:sz w:val="22"/>
          <w:szCs w:val="22"/>
        </w:rPr>
        <w:fldChar w:fldCharType="end"/>
      </w:r>
      <w:bookmarkEnd w:id="1"/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2"/>
          <w:szCs w:val="22"/>
        </w:rPr>
        <w:t>На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2"/>
          <w:szCs w:val="22"/>
        </w:rPr>
        <w:t>конференции “Polish experience in cross-border cooperation”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norm1"/>
          <w:rFonts w:ascii="Arial" w:hAnsi="Arial" w:cs="Arial"/>
          <w:color w:val="4D4D4F"/>
          <w:sz w:val="22"/>
          <w:szCs w:val="22"/>
        </w:rPr>
        <w:t>, которая состоялась в городе Жешув 6-8 декабря 2001г. Выступающими там представителями различных международных организаций и представителей дипломатических миссий в Польше шла речь об исключительно положительном опыте еврорегионального сотрудничества и огромной роли подобного рода институтов в решении проблем гармонизации добрососедских отношений. Здесь же присутствовали представители ряда юго-восточных европейских государств, которые, по мнению организаторов, должны были имплементировать опыт деятельности еврорегионов в Центральной Европе в свой внешне политический инструментарий.</w:t>
      </w:r>
    </w:p>
    <w:p w:rsidR="005B7C35" w:rsidRDefault="005B7C35"/>
    <w:sectPr w:rsidR="005B7C35" w:rsidSect="005B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18D"/>
    <w:multiLevelType w:val="multilevel"/>
    <w:tmpl w:val="0CD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26767"/>
    <w:multiLevelType w:val="multilevel"/>
    <w:tmpl w:val="507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F7775"/>
    <w:multiLevelType w:val="multilevel"/>
    <w:tmpl w:val="0E4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63520"/>
    <w:multiLevelType w:val="multilevel"/>
    <w:tmpl w:val="B10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A0F7C"/>
    <w:multiLevelType w:val="multilevel"/>
    <w:tmpl w:val="73A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F3083F"/>
    <w:rsid w:val="005B7C35"/>
    <w:rsid w:val="00F3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F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083F"/>
    <w:rPr>
      <w:b/>
      <w:bCs/>
    </w:rPr>
  </w:style>
  <w:style w:type="character" w:styleId="a4">
    <w:name w:val="Emphasis"/>
    <w:basedOn w:val="a0"/>
    <w:uiPriority w:val="20"/>
    <w:qFormat/>
    <w:rsid w:val="00F3083F"/>
    <w:rPr>
      <w:i/>
      <w:iCs/>
    </w:rPr>
  </w:style>
  <w:style w:type="paragraph" w:styleId="a5">
    <w:name w:val="Normal (Web)"/>
    <w:basedOn w:val="a"/>
    <w:uiPriority w:val="99"/>
    <w:semiHidden/>
    <w:unhideWhenUsed/>
    <w:rsid w:val="00F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1">
    <w:name w:val="norm1"/>
    <w:basedOn w:val="a0"/>
    <w:rsid w:val="00F3083F"/>
  </w:style>
  <w:style w:type="character" w:customStyle="1" w:styleId="apple-converted-space">
    <w:name w:val="apple-converted-space"/>
    <w:basedOn w:val="a0"/>
    <w:rsid w:val="00F3083F"/>
  </w:style>
  <w:style w:type="character" w:styleId="a6">
    <w:name w:val="Hyperlink"/>
    <w:basedOn w:val="a0"/>
    <w:uiPriority w:val="99"/>
    <w:semiHidden/>
    <w:unhideWhenUsed/>
    <w:rsid w:val="00F3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15153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2016-05-18T09:25:00Z</dcterms:created>
  <dcterms:modified xsi:type="dcterms:W3CDTF">2016-05-18T09:26:00Z</dcterms:modified>
</cp:coreProperties>
</file>