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4" w:rsidRPr="00665254" w:rsidRDefault="00665254" w:rsidP="00665254">
      <w:pPr>
        <w:ind w:right="-99" w:firstLine="709"/>
        <w:jc w:val="center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ФІЗИЧНЕ ВИХОВАННЯ СТУДЕНТІВ З ВРАХУВАННЯМ  </w:t>
      </w:r>
    </w:p>
    <w:p w:rsidR="00665254" w:rsidRPr="00665254" w:rsidRDefault="00665254" w:rsidP="00665254">
      <w:pPr>
        <w:ind w:right="-99" w:firstLine="709"/>
        <w:jc w:val="center"/>
        <w:rPr>
          <w:sz w:val="28"/>
          <w:szCs w:val="28"/>
        </w:rPr>
      </w:pPr>
      <w:r w:rsidRPr="00665254">
        <w:rPr>
          <w:sz w:val="28"/>
          <w:szCs w:val="28"/>
          <w:lang w:val="uk-UA"/>
        </w:rPr>
        <w:t xml:space="preserve">СОЦІАЛЬНО-ПЕДАГОГІЧНОГО НАВАНТАЖЕННЯ </w:t>
      </w:r>
    </w:p>
    <w:p w:rsidR="00665254" w:rsidRPr="00665254" w:rsidRDefault="00665254" w:rsidP="00665254">
      <w:pPr>
        <w:ind w:right="-99" w:firstLine="709"/>
        <w:jc w:val="center"/>
        <w:rPr>
          <w:sz w:val="28"/>
          <w:szCs w:val="28"/>
        </w:rPr>
      </w:pPr>
    </w:p>
    <w:p w:rsidR="00665254" w:rsidRPr="00665254" w:rsidRDefault="00665254" w:rsidP="00665254">
      <w:pPr>
        <w:ind w:right="-99" w:firstLine="709"/>
        <w:jc w:val="center"/>
        <w:rPr>
          <w:sz w:val="28"/>
          <w:szCs w:val="28"/>
        </w:rPr>
      </w:pPr>
      <w:r w:rsidRPr="00665254">
        <w:rPr>
          <w:sz w:val="28"/>
          <w:szCs w:val="28"/>
          <w:lang w:val="uk-UA"/>
        </w:rPr>
        <w:t xml:space="preserve">Валерій </w:t>
      </w:r>
      <w:proofErr w:type="spellStart"/>
      <w:r w:rsidRPr="00665254">
        <w:rPr>
          <w:sz w:val="28"/>
          <w:szCs w:val="28"/>
          <w:lang w:val="uk-UA"/>
        </w:rPr>
        <w:t>Товт</w:t>
      </w:r>
      <w:proofErr w:type="spellEnd"/>
      <w:r w:rsidRPr="00665254">
        <w:rPr>
          <w:sz w:val="28"/>
          <w:szCs w:val="28"/>
          <w:lang w:val="uk-UA"/>
        </w:rPr>
        <w:t xml:space="preserve">, Сергій Олексіюк, Едуард </w:t>
      </w:r>
      <w:proofErr w:type="spellStart"/>
      <w:r w:rsidRPr="00665254">
        <w:rPr>
          <w:sz w:val="28"/>
          <w:szCs w:val="28"/>
          <w:lang w:val="uk-UA"/>
        </w:rPr>
        <w:t>Сівохоп</w:t>
      </w:r>
      <w:proofErr w:type="spellEnd"/>
    </w:p>
    <w:p w:rsidR="00665254" w:rsidRPr="00665254" w:rsidRDefault="00665254" w:rsidP="00665254">
      <w:pPr>
        <w:ind w:right="-99" w:firstLine="709"/>
        <w:jc w:val="center"/>
        <w:rPr>
          <w:sz w:val="28"/>
          <w:szCs w:val="28"/>
        </w:rPr>
      </w:pPr>
    </w:p>
    <w:p w:rsidR="00665254" w:rsidRPr="00665254" w:rsidRDefault="00665254" w:rsidP="00665254">
      <w:pPr>
        <w:ind w:right="-1" w:firstLine="70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Метою дослідження є вивчення сумарної дії на студентів їх основних тривалих навантажень, а саме: фізичних, соціальних та педагогічних. Проблема полягає у тому, що при організації урочних та позаурочних форм фізичного виховання не повною мірою враховується сукупність дії на організм студентів означених видів навантажень, які самі по собі можуть бути незначними, але спільно з фізичними навантаженнями здатні перевищити адаптаційні можливості організму.</w:t>
      </w:r>
    </w:p>
    <w:p w:rsidR="00665254" w:rsidRPr="00665254" w:rsidRDefault="00665254" w:rsidP="00665254">
      <w:pPr>
        <w:ind w:firstLine="720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Про актуальність проблеми свідчать статистичні показники, наведені Державним комітетом фізичної культури і спорту України [5] та Державним комітетом молодіжної політики, спорту і туризму в Україні [4],  про те, що 90% студентів мають відхилення у стані здоров’я, 50% - незадовільний рівень фізичної підготовленості, 18% - не можуть займатися фізичною підготовкою за станом здоров’я. </w:t>
      </w:r>
    </w:p>
    <w:p w:rsidR="00665254" w:rsidRPr="00665254" w:rsidRDefault="00665254" w:rsidP="00665254">
      <w:pPr>
        <w:ind w:firstLine="720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 Відомо, що організм відповідає єдиним комплексом фізіологічних  реакцій на суму різнохарактерних подразників [2]. Отже окремо взята умовна одиниця фізичної активності може бути оптимальною і сприяти позитивним адаптаційним процесам, але разом з іншими подразниками - перевищувати можливості організму до опірності і, таким чином, не допомагати а, навпаки,  шкодити процесам пристосування [6]. </w:t>
      </w:r>
    </w:p>
    <w:p w:rsidR="00665254" w:rsidRPr="00665254" w:rsidRDefault="00665254" w:rsidP="00665254">
      <w:pPr>
        <w:ind w:firstLine="720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У цьому контексті фізична активність розглядається нами як елемент  системи факторів, які  одноразово діють на організм. Це означає, що її вклад у спільну дію факторів має бути таким, щоби разом з іншими створювати сприятливі умови для ефективного пристосування до сумарної дії всіх навантажень.</w:t>
      </w:r>
    </w:p>
    <w:p w:rsidR="00665254" w:rsidRPr="00665254" w:rsidRDefault="00665254" w:rsidP="00665254">
      <w:pPr>
        <w:ind w:right="-99" w:firstLine="70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Дослідження обмежуються вивченням закономірностей формування </w:t>
      </w:r>
      <w:proofErr w:type="spellStart"/>
      <w:r w:rsidRPr="00665254">
        <w:rPr>
          <w:sz w:val="28"/>
          <w:szCs w:val="28"/>
          <w:lang w:val="uk-UA"/>
        </w:rPr>
        <w:t>фенотипної</w:t>
      </w:r>
      <w:proofErr w:type="spellEnd"/>
      <w:r w:rsidRPr="00665254">
        <w:rPr>
          <w:sz w:val="28"/>
          <w:szCs w:val="28"/>
          <w:lang w:val="uk-UA"/>
        </w:rPr>
        <w:t xml:space="preserve"> адаптації студентів першого курсу до сучасної вищої школи шляхом оптимізації їх фізичного виховання. Вибір суб’єкту дослідження зумовлений тим, що на переважну більшість не загартованої до тривалої дії </w:t>
      </w:r>
      <w:proofErr w:type="spellStart"/>
      <w:r w:rsidRPr="00665254">
        <w:rPr>
          <w:sz w:val="28"/>
          <w:szCs w:val="28"/>
          <w:lang w:val="uk-UA"/>
        </w:rPr>
        <w:t>стресоген</w:t>
      </w:r>
      <w:r>
        <w:rPr>
          <w:sz w:val="28"/>
          <w:szCs w:val="28"/>
          <w:lang w:val="uk-UA"/>
        </w:rPr>
        <w:t>них</w:t>
      </w:r>
      <w:proofErr w:type="spellEnd"/>
      <w:r>
        <w:rPr>
          <w:sz w:val="28"/>
          <w:szCs w:val="28"/>
          <w:lang w:val="uk-UA"/>
        </w:rPr>
        <w:t xml:space="preserve"> факторів </w:t>
      </w:r>
      <w:proofErr w:type="spellStart"/>
      <w:r>
        <w:rPr>
          <w:sz w:val="28"/>
          <w:szCs w:val="28"/>
          <w:lang w:val="uk-UA"/>
        </w:rPr>
        <w:t>“студентів-першокурсників</w:t>
      </w:r>
      <w:r w:rsidRPr="00665254">
        <w:rPr>
          <w:sz w:val="28"/>
          <w:szCs w:val="28"/>
          <w:lang w:val="uk-UA"/>
        </w:rPr>
        <w:t>”</w:t>
      </w:r>
      <w:proofErr w:type="spellEnd"/>
      <w:r w:rsidRPr="00665254">
        <w:rPr>
          <w:sz w:val="28"/>
          <w:szCs w:val="28"/>
          <w:lang w:val="uk-UA"/>
        </w:rPr>
        <w:t xml:space="preserve"> (особливо з сільської місц</w:t>
      </w:r>
      <w:r>
        <w:rPr>
          <w:sz w:val="28"/>
          <w:szCs w:val="28"/>
          <w:lang w:val="uk-UA"/>
        </w:rPr>
        <w:t>евості) може негативно вплинути</w:t>
      </w:r>
      <w:r w:rsidRPr="00665254">
        <w:rPr>
          <w:i/>
          <w:sz w:val="28"/>
          <w:szCs w:val="28"/>
          <w:lang w:val="uk-UA"/>
        </w:rPr>
        <w:t xml:space="preserve"> </w:t>
      </w:r>
      <w:r w:rsidRPr="00665254">
        <w:rPr>
          <w:sz w:val="28"/>
          <w:szCs w:val="28"/>
          <w:lang w:val="uk-UA"/>
        </w:rPr>
        <w:t>низка безперервних соціальних, пов’язаних зі з</w:t>
      </w:r>
      <w:r>
        <w:rPr>
          <w:sz w:val="28"/>
          <w:szCs w:val="28"/>
          <w:lang w:val="uk-UA"/>
        </w:rPr>
        <w:t>міною місця та умов проживання.</w:t>
      </w:r>
    </w:p>
    <w:p w:rsidR="009E5D02" w:rsidRPr="00665254" w:rsidRDefault="00665254" w:rsidP="009E5D02">
      <w:pPr>
        <w:pStyle w:val="31"/>
        <w:ind w:firstLine="70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Для перевірки цього припущення протягом п’яти років було обстежено 2698 студентів вузів 3-4 рівнів акредитації. </w:t>
      </w:r>
    </w:p>
    <w:p w:rsidR="00665254" w:rsidRPr="00665254" w:rsidRDefault="009E5D02" w:rsidP="00665254">
      <w:pPr>
        <w:ind w:right="-9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65254" w:rsidRPr="00665254">
        <w:rPr>
          <w:sz w:val="28"/>
          <w:szCs w:val="28"/>
          <w:lang w:val="uk-UA"/>
        </w:rPr>
        <w:t xml:space="preserve">езультати досліджень вказують на необхідність постійного контролю реакції організму студентів першого курсу навчання на сумарну дію соціального, педагогічного та фізичного навантажень. Одним із найбільш </w:t>
      </w:r>
      <w:proofErr w:type="spellStart"/>
      <w:r w:rsidR="00665254" w:rsidRPr="00665254">
        <w:rPr>
          <w:sz w:val="28"/>
          <w:szCs w:val="28"/>
          <w:lang w:val="uk-UA"/>
        </w:rPr>
        <w:t>валідних</w:t>
      </w:r>
      <w:proofErr w:type="spellEnd"/>
      <w:r w:rsidR="00665254" w:rsidRPr="00665254">
        <w:rPr>
          <w:sz w:val="28"/>
          <w:szCs w:val="28"/>
          <w:lang w:val="uk-UA"/>
        </w:rPr>
        <w:t xml:space="preserve"> критеріїв оцінки такої реакції можуть бути показники психологічних розладів.</w:t>
      </w:r>
      <w:r w:rsidR="00665254">
        <w:rPr>
          <w:sz w:val="28"/>
          <w:szCs w:val="28"/>
          <w:lang w:val="uk-UA"/>
        </w:rPr>
        <w:t xml:space="preserve"> </w:t>
      </w:r>
      <w:r w:rsidR="00665254" w:rsidRPr="00665254">
        <w:rPr>
          <w:sz w:val="28"/>
          <w:szCs w:val="28"/>
          <w:lang w:val="uk-UA"/>
        </w:rPr>
        <w:t xml:space="preserve">Не врахування спільної дії навантажень та закономірностей </w:t>
      </w:r>
      <w:r w:rsidR="00665254" w:rsidRPr="00665254">
        <w:rPr>
          <w:sz w:val="28"/>
          <w:szCs w:val="28"/>
          <w:lang w:val="uk-UA"/>
        </w:rPr>
        <w:lastRenderedPageBreak/>
        <w:t xml:space="preserve">адаптаційних процесів у фізичному виховані може призвести до зворотного ефекту, коли фізичне та навчальне навантаження </w:t>
      </w:r>
      <w:proofErr w:type="spellStart"/>
      <w:r w:rsidR="00665254" w:rsidRPr="00665254">
        <w:rPr>
          <w:sz w:val="28"/>
          <w:szCs w:val="28"/>
          <w:lang w:val="uk-UA"/>
        </w:rPr>
        <w:t>“накладаються”</w:t>
      </w:r>
      <w:proofErr w:type="spellEnd"/>
      <w:r w:rsidR="00665254" w:rsidRPr="00665254">
        <w:rPr>
          <w:sz w:val="28"/>
          <w:szCs w:val="28"/>
          <w:lang w:val="uk-UA"/>
        </w:rPr>
        <w:t xml:space="preserve"> одне на одного, що приводить до наступних негативних наслідків:</w:t>
      </w:r>
    </w:p>
    <w:p w:rsidR="00665254" w:rsidRPr="00665254" w:rsidRDefault="00665254" w:rsidP="00665254">
      <w:pPr>
        <w:numPr>
          <w:ilvl w:val="0"/>
          <w:numId w:val="2"/>
        </w:numPr>
        <w:ind w:right="-9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поява симптомів хронічної втоми;</w:t>
      </w:r>
    </w:p>
    <w:p w:rsidR="00665254" w:rsidRPr="00665254" w:rsidRDefault="00665254" w:rsidP="00665254">
      <w:pPr>
        <w:numPr>
          <w:ilvl w:val="0"/>
          <w:numId w:val="2"/>
        </w:numPr>
        <w:ind w:right="-9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зменшення опірності організму до інфекційних захворювань;</w:t>
      </w:r>
    </w:p>
    <w:p w:rsidR="00665254" w:rsidRPr="00665254" w:rsidRDefault="00665254" w:rsidP="00665254">
      <w:pPr>
        <w:numPr>
          <w:ilvl w:val="0"/>
          <w:numId w:val="2"/>
        </w:numPr>
        <w:ind w:right="-9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зниження показників працездатності;</w:t>
      </w:r>
    </w:p>
    <w:p w:rsidR="00665254" w:rsidRPr="00665254" w:rsidRDefault="00665254" w:rsidP="00665254">
      <w:pPr>
        <w:numPr>
          <w:ilvl w:val="0"/>
          <w:numId w:val="2"/>
        </w:numPr>
        <w:ind w:right="-99"/>
        <w:jc w:val="both"/>
        <w:rPr>
          <w:sz w:val="28"/>
          <w:szCs w:val="28"/>
          <w:lang w:val="uk-UA"/>
        </w:rPr>
      </w:pPr>
      <w:proofErr w:type="spellStart"/>
      <w:r w:rsidRPr="00665254">
        <w:rPr>
          <w:sz w:val="28"/>
          <w:szCs w:val="28"/>
          <w:lang w:val="uk-UA"/>
        </w:rPr>
        <w:t>дистонічні</w:t>
      </w:r>
      <w:proofErr w:type="spellEnd"/>
      <w:r w:rsidRPr="00665254">
        <w:rPr>
          <w:sz w:val="28"/>
          <w:szCs w:val="28"/>
          <w:lang w:val="uk-UA"/>
        </w:rPr>
        <w:t xml:space="preserve"> явища, зростання тривожності, депресії. </w:t>
      </w:r>
    </w:p>
    <w:p w:rsidR="00665254" w:rsidRPr="00665254" w:rsidRDefault="00665254" w:rsidP="00665254">
      <w:pPr>
        <w:ind w:right="-99" w:firstLine="709"/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>Враховуючи підвищену тривожність та елементи депресії у “студентів-</w:t>
      </w:r>
      <w:r w:rsidR="009E5D02">
        <w:rPr>
          <w:sz w:val="28"/>
          <w:szCs w:val="28"/>
          <w:lang w:val="uk-UA"/>
        </w:rPr>
        <w:t>першокурсників</w:t>
      </w:r>
      <w:r w:rsidRPr="00665254">
        <w:rPr>
          <w:sz w:val="28"/>
          <w:szCs w:val="28"/>
          <w:lang w:val="uk-UA"/>
        </w:rPr>
        <w:t>”, пов’язані з адаптаційним періодом</w:t>
      </w:r>
      <w:r w:rsidR="009E5D02">
        <w:rPr>
          <w:sz w:val="28"/>
          <w:szCs w:val="28"/>
          <w:lang w:val="uk-UA"/>
        </w:rPr>
        <w:t xml:space="preserve"> до навчання</w:t>
      </w:r>
      <w:r w:rsidRPr="00665254">
        <w:rPr>
          <w:sz w:val="28"/>
          <w:szCs w:val="28"/>
          <w:lang w:val="uk-UA"/>
        </w:rPr>
        <w:t xml:space="preserve">, є доцільним широке використання релаксаційних методик у фізичних тренуваннях, особливо на перших заняттях у, так званий, період </w:t>
      </w:r>
      <w:proofErr w:type="spellStart"/>
      <w:r w:rsidRPr="00665254">
        <w:rPr>
          <w:sz w:val="28"/>
          <w:szCs w:val="28"/>
          <w:lang w:val="uk-UA"/>
        </w:rPr>
        <w:t>“втягування”</w:t>
      </w:r>
      <w:proofErr w:type="spellEnd"/>
      <w:r w:rsidRPr="00665254">
        <w:rPr>
          <w:sz w:val="28"/>
          <w:szCs w:val="28"/>
          <w:lang w:val="uk-UA"/>
        </w:rPr>
        <w:t>.</w:t>
      </w:r>
    </w:p>
    <w:p w:rsidR="00665254" w:rsidRDefault="00665254" w:rsidP="0066525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665254" w:rsidRPr="00665254" w:rsidRDefault="00665254" w:rsidP="00665254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665254">
        <w:rPr>
          <w:b/>
          <w:sz w:val="28"/>
          <w:szCs w:val="28"/>
          <w:lang w:val="uk-UA"/>
        </w:rPr>
        <w:t>Література:</w:t>
      </w:r>
    </w:p>
    <w:p w:rsidR="00665254" w:rsidRPr="00665254" w:rsidRDefault="00665254" w:rsidP="0066525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uk-UA"/>
        </w:rPr>
        <w:t xml:space="preserve">Боднар І.Р. Фізичне виховання студентів з низьким рівнем фізичної підготовленості: Автореф. </w:t>
      </w:r>
      <w:proofErr w:type="spellStart"/>
      <w:r w:rsidRPr="00665254">
        <w:rPr>
          <w:sz w:val="28"/>
          <w:szCs w:val="28"/>
          <w:lang w:val="uk-UA"/>
        </w:rPr>
        <w:t>дис</w:t>
      </w:r>
      <w:proofErr w:type="spellEnd"/>
      <w:r w:rsidRPr="00665254">
        <w:rPr>
          <w:sz w:val="28"/>
          <w:szCs w:val="28"/>
          <w:lang w:val="uk-UA"/>
        </w:rPr>
        <w:t>…</w:t>
      </w:r>
      <w:r w:rsidR="009E5D02">
        <w:rPr>
          <w:sz w:val="28"/>
          <w:szCs w:val="28"/>
          <w:lang w:val="uk-UA"/>
        </w:rPr>
        <w:t xml:space="preserve"> </w:t>
      </w:r>
      <w:r w:rsidRPr="00665254">
        <w:rPr>
          <w:sz w:val="28"/>
          <w:szCs w:val="28"/>
          <w:lang w:val="uk-UA"/>
        </w:rPr>
        <w:t xml:space="preserve">канд. пед. наук: 24.00.02 / Волинський </w:t>
      </w:r>
      <w:proofErr w:type="spellStart"/>
      <w:r w:rsidRPr="00665254">
        <w:rPr>
          <w:sz w:val="28"/>
          <w:szCs w:val="28"/>
          <w:lang w:val="uk-UA"/>
        </w:rPr>
        <w:t>держ</w:t>
      </w:r>
      <w:proofErr w:type="spellEnd"/>
      <w:r w:rsidRPr="00665254">
        <w:rPr>
          <w:sz w:val="28"/>
          <w:szCs w:val="28"/>
          <w:lang w:val="uk-UA"/>
        </w:rPr>
        <w:t xml:space="preserve">. університет ім. Лесі Українки. – Луцьк, 2000. –19 с. </w:t>
      </w:r>
    </w:p>
    <w:p w:rsidR="00665254" w:rsidRPr="00665254" w:rsidRDefault="00665254" w:rsidP="006652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65254">
        <w:rPr>
          <w:sz w:val="28"/>
          <w:szCs w:val="28"/>
        </w:rPr>
        <w:t>Гаркави</w:t>
      </w:r>
      <w:proofErr w:type="spellEnd"/>
      <w:r w:rsidRPr="00665254">
        <w:rPr>
          <w:sz w:val="28"/>
          <w:szCs w:val="28"/>
        </w:rPr>
        <w:t xml:space="preserve"> Л.Х., Квакина Е.Б., </w:t>
      </w:r>
      <w:proofErr w:type="spellStart"/>
      <w:r w:rsidRPr="00665254">
        <w:rPr>
          <w:sz w:val="28"/>
          <w:szCs w:val="28"/>
        </w:rPr>
        <w:t>Уколова</w:t>
      </w:r>
      <w:proofErr w:type="spellEnd"/>
      <w:r w:rsidRPr="00665254">
        <w:rPr>
          <w:sz w:val="28"/>
          <w:szCs w:val="28"/>
        </w:rPr>
        <w:t xml:space="preserve"> М.А.  Адаптационные реакции и </w:t>
      </w:r>
      <w:proofErr w:type="spellStart"/>
      <w:r w:rsidRPr="00665254">
        <w:rPr>
          <w:sz w:val="28"/>
          <w:szCs w:val="28"/>
        </w:rPr>
        <w:t>резистентность</w:t>
      </w:r>
      <w:proofErr w:type="spellEnd"/>
      <w:r w:rsidRPr="00665254">
        <w:rPr>
          <w:sz w:val="28"/>
          <w:szCs w:val="28"/>
        </w:rPr>
        <w:t xml:space="preserve"> организма. – Ростов </w:t>
      </w:r>
      <w:proofErr w:type="spellStart"/>
      <w:r w:rsidRPr="00665254">
        <w:rPr>
          <w:sz w:val="28"/>
          <w:szCs w:val="28"/>
        </w:rPr>
        <w:t>н</w:t>
      </w:r>
      <w:proofErr w:type="spellEnd"/>
      <w:proofErr w:type="gramStart"/>
      <w:r w:rsidRPr="00665254">
        <w:rPr>
          <w:sz w:val="28"/>
          <w:szCs w:val="28"/>
        </w:rPr>
        <w:t>/Д</w:t>
      </w:r>
      <w:proofErr w:type="gramEnd"/>
      <w:r w:rsidRPr="00665254">
        <w:rPr>
          <w:sz w:val="28"/>
          <w:szCs w:val="28"/>
        </w:rPr>
        <w:t>: Изд-во Ростовского университета, 1990. – 224 с.</w:t>
      </w:r>
    </w:p>
    <w:p w:rsidR="00665254" w:rsidRPr="00665254" w:rsidRDefault="00665254" w:rsidP="00665254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665254">
        <w:rPr>
          <w:sz w:val="28"/>
          <w:szCs w:val="28"/>
        </w:rPr>
        <w:t>Щуревич</w:t>
      </w:r>
      <w:proofErr w:type="spellEnd"/>
      <w:r w:rsidRPr="00665254">
        <w:rPr>
          <w:sz w:val="28"/>
          <w:szCs w:val="28"/>
        </w:rPr>
        <w:t xml:space="preserve"> Г.А., </w:t>
      </w:r>
      <w:proofErr w:type="spellStart"/>
      <w:r w:rsidRPr="00665254">
        <w:rPr>
          <w:sz w:val="28"/>
          <w:szCs w:val="28"/>
        </w:rPr>
        <w:t>Зинковский</w:t>
      </w:r>
      <w:proofErr w:type="spellEnd"/>
      <w:r w:rsidRPr="00665254">
        <w:rPr>
          <w:sz w:val="28"/>
          <w:szCs w:val="28"/>
        </w:rPr>
        <w:t xml:space="preserve"> А.В., </w:t>
      </w:r>
      <w:proofErr w:type="spellStart"/>
      <w:r w:rsidRPr="00665254">
        <w:rPr>
          <w:sz w:val="28"/>
          <w:szCs w:val="28"/>
        </w:rPr>
        <w:t>Пономарьов</w:t>
      </w:r>
      <w:proofErr w:type="spellEnd"/>
      <w:r w:rsidRPr="00665254">
        <w:rPr>
          <w:sz w:val="28"/>
          <w:szCs w:val="28"/>
        </w:rPr>
        <w:t xml:space="preserve"> Н.И. Адаптация молодежи к высшей школе: Монография. – </w:t>
      </w:r>
      <w:proofErr w:type="spellStart"/>
      <w:r w:rsidRPr="00665254">
        <w:rPr>
          <w:sz w:val="28"/>
          <w:szCs w:val="28"/>
        </w:rPr>
        <w:t>Спб</w:t>
      </w:r>
      <w:proofErr w:type="spellEnd"/>
      <w:r w:rsidRPr="00665254">
        <w:rPr>
          <w:sz w:val="28"/>
          <w:szCs w:val="28"/>
        </w:rPr>
        <w:t>.: ВИФК, 1994. – 227 с.</w:t>
      </w:r>
    </w:p>
    <w:p w:rsidR="00665254" w:rsidRPr="00665254" w:rsidRDefault="00665254" w:rsidP="00665254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665254">
        <w:rPr>
          <w:sz w:val="28"/>
          <w:szCs w:val="28"/>
          <w:lang w:val="uk-UA"/>
        </w:rPr>
        <w:t>Основні показники розвитку фізичної культури і спорту в Україні за 1999 рік. Зб. Статистичних показників. – К.: Державний комітет молодіжної політики, спорту і туризму України, 2000. – 131 с.</w:t>
      </w:r>
    </w:p>
    <w:p w:rsidR="00665254" w:rsidRPr="00665254" w:rsidRDefault="00665254" w:rsidP="00665254">
      <w:pPr>
        <w:numPr>
          <w:ilvl w:val="0"/>
          <w:numId w:val="1"/>
        </w:numPr>
        <w:jc w:val="both"/>
        <w:rPr>
          <w:sz w:val="28"/>
          <w:szCs w:val="28"/>
        </w:rPr>
      </w:pPr>
      <w:r w:rsidRPr="00665254">
        <w:rPr>
          <w:sz w:val="28"/>
          <w:szCs w:val="28"/>
          <w:lang w:val="uk-UA"/>
        </w:rPr>
        <w:t xml:space="preserve">Концептуальні засади подальшого розвитку фізичної культури і спорту в Україні / Проект державного комітету з фізичної культури і спорту в </w:t>
      </w:r>
      <w:proofErr w:type="spellStart"/>
      <w:r w:rsidRPr="00665254">
        <w:rPr>
          <w:sz w:val="28"/>
          <w:szCs w:val="28"/>
          <w:lang w:val="uk-UA"/>
        </w:rPr>
        <w:t>Україні.-</w:t>
      </w:r>
      <w:proofErr w:type="spellEnd"/>
      <w:r w:rsidRPr="00665254">
        <w:rPr>
          <w:sz w:val="28"/>
          <w:szCs w:val="28"/>
          <w:lang w:val="uk-UA"/>
        </w:rPr>
        <w:t xml:space="preserve"> К, 1997.–16 с.</w:t>
      </w:r>
    </w:p>
    <w:p w:rsidR="00665254" w:rsidRPr="00665254" w:rsidRDefault="009E5D02" w:rsidP="00665254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Товт</w:t>
      </w:r>
      <w:proofErr w:type="spellEnd"/>
      <w:r>
        <w:rPr>
          <w:sz w:val="28"/>
          <w:szCs w:val="28"/>
          <w:lang w:val="uk-UA"/>
        </w:rPr>
        <w:t xml:space="preserve"> В.А. Фізичне виховання та </w:t>
      </w:r>
      <w:r w:rsidR="00665254" w:rsidRPr="00665254">
        <w:rPr>
          <w:sz w:val="28"/>
          <w:szCs w:val="28"/>
          <w:lang w:val="uk-UA"/>
        </w:rPr>
        <w:t>активність як фактор адаптації молоді до вищої школи</w:t>
      </w:r>
      <w:r w:rsidR="00665254" w:rsidRPr="00665254">
        <w:rPr>
          <w:sz w:val="28"/>
          <w:szCs w:val="28"/>
        </w:rPr>
        <w:t>//</w:t>
      </w:r>
      <w:r w:rsidR="00665254" w:rsidRPr="00665254">
        <w:rPr>
          <w:sz w:val="28"/>
          <w:szCs w:val="28"/>
          <w:lang w:val="uk-UA"/>
        </w:rPr>
        <w:t>Педагогіка. Соціальна робота. – Ужгород, 2000. - № 3. – с. 72-75.</w:t>
      </w:r>
    </w:p>
    <w:p w:rsidR="00665254" w:rsidRPr="00665254" w:rsidRDefault="00665254" w:rsidP="00665254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665254">
        <w:rPr>
          <w:sz w:val="28"/>
          <w:szCs w:val="28"/>
          <w:lang w:val="en-US"/>
        </w:rPr>
        <w:t>Spilberger</w:t>
      </w:r>
      <w:proofErr w:type="spellEnd"/>
      <w:r w:rsidRPr="00665254">
        <w:rPr>
          <w:sz w:val="28"/>
          <w:szCs w:val="28"/>
          <w:lang w:val="en-US"/>
        </w:rPr>
        <w:t xml:space="preserve"> C.D., </w:t>
      </w:r>
      <w:proofErr w:type="spellStart"/>
      <w:r w:rsidRPr="00665254">
        <w:rPr>
          <w:sz w:val="28"/>
          <w:szCs w:val="28"/>
          <w:lang w:val="en-US"/>
        </w:rPr>
        <w:t>Gorsuch</w:t>
      </w:r>
      <w:proofErr w:type="spellEnd"/>
      <w:r w:rsidRPr="00665254">
        <w:rPr>
          <w:sz w:val="28"/>
          <w:szCs w:val="28"/>
          <w:lang w:val="en-US"/>
        </w:rPr>
        <w:t xml:space="preserve"> R.C., </w:t>
      </w:r>
      <w:proofErr w:type="spellStart"/>
      <w:r w:rsidRPr="00665254">
        <w:rPr>
          <w:sz w:val="28"/>
          <w:szCs w:val="28"/>
          <w:lang w:val="en-US"/>
        </w:rPr>
        <w:t>Lushene</w:t>
      </w:r>
      <w:proofErr w:type="spellEnd"/>
      <w:r w:rsidRPr="00665254">
        <w:rPr>
          <w:sz w:val="28"/>
          <w:szCs w:val="28"/>
          <w:lang w:val="en-US"/>
        </w:rPr>
        <w:t xml:space="preserve"> R.E. Manual for the State-Trait Anxiety Inventory. Palo Alto, CA: Consulting Psychologists. – 1970. – 210 р.</w:t>
      </w:r>
    </w:p>
    <w:p w:rsidR="00665254" w:rsidRPr="00665254" w:rsidRDefault="00665254" w:rsidP="0066525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65254">
        <w:rPr>
          <w:sz w:val="28"/>
          <w:szCs w:val="28"/>
          <w:lang w:val="en-US"/>
        </w:rPr>
        <w:t xml:space="preserve">Beck A.T. Ward C.H., </w:t>
      </w:r>
      <w:proofErr w:type="spellStart"/>
      <w:r w:rsidRPr="00665254">
        <w:rPr>
          <w:sz w:val="28"/>
          <w:szCs w:val="28"/>
          <w:lang w:val="en-US"/>
        </w:rPr>
        <w:t>Mendelson</w:t>
      </w:r>
      <w:proofErr w:type="spellEnd"/>
      <w:r w:rsidRPr="00665254">
        <w:rPr>
          <w:sz w:val="28"/>
          <w:szCs w:val="28"/>
          <w:lang w:val="en-US"/>
        </w:rPr>
        <w:t xml:space="preserve"> M. et al. An inventory for measuring depression // Archives of General Psychiatry.-Vol.4.-1961.-P</w:t>
      </w:r>
      <w:proofErr w:type="gramStart"/>
      <w:r w:rsidRPr="00665254">
        <w:rPr>
          <w:sz w:val="28"/>
          <w:szCs w:val="28"/>
          <w:lang w:val="en-US"/>
        </w:rPr>
        <w:t>..</w:t>
      </w:r>
      <w:proofErr w:type="gramEnd"/>
      <w:r w:rsidRPr="00665254">
        <w:rPr>
          <w:sz w:val="28"/>
          <w:szCs w:val="28"/>
          <w:lang w:val="en-US"/>
        </w:rPr>
        <w:t>53-63.</w:t>
      </w:r>
    </w:p>
    <w:p w:rsidR="00665254" w:rsidRPr="00665254" w:rsidRDefault="00665254" w:rsidP="00665254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65254">
        <w:rPr>
          <w:sz w:val="28"/>
          <w:szCs w:val="28"/>
          <w:lang w:val="en-US"/>
        </w:rPr>
        <w:t xml:space="preserve">Norris F.H., </w:t>
      </w:r>
      <w:proofErr w:type="spellStart"/>
      <w:r w:rsidRPr="00665254">
        <w:rPr>
          <w:sz w:val="28"/>
          <w:szCs w:val="28"/>
          <w:lang w:val="en-US"/>
        </w:rPr>
        <w:t>Unl</w:t>
      </w:r>
      <w:proofErr w:type="spellEnd"/>
      <w:r w:rsidRPr="00665254">
        <w:rPr>
          <w:sz w:val="28"/>
          <w:szCs w:val="28"/>
          <w:lang w:val="en-US"/>
        </w:rPr>
        <w:t xml:space="preserve"> G.A. </w:t>
      </w:r>
      <w:proofErr w:type="spellStart"/>
      <w:r w:rsidRPr="00665254">
        <w:rPr>
          <w:sz w:val="28"/>
          <w:szCs w:val="28"/>
          <w:lang w:val="en-US"/>
        </w:rPr>
        <w:t>Cronic</w:t>
      </w:r>
      <w:proofErr w:type="spellEnd"/>
      <w:r w:rsidRPr="00665254">
        <w:rPr>
          <w:sz w:val="28"/>
          <w:szCs w:val="28"/>
          <w:lang w:val="en-US"/>
        </w:rPr>
        <w:t xml:space="preserve"> Stress as a Mediator of Acute Stress: The Case of </w:t>
      </w:r>
      <w:proofErr w:type="spellStart"/>
      <w:r w:rsidRPr="00665254">
        <w:rPr>
          <w:sz w:val="28"/>
          <w:szCs w:val="28"/>
          <w:lang w:val="en-US"/>
        </w:rPr>
        <w:t>Harricane</w:t>
      </w:r>
      <w:proofErr w:type="spellEnd"/>
      <w:r w:rsidRPr="00665254">
        <w:rPr>
          <w:sz w:val="28"/>
          <w:szCs w:val="28"/>
          <w:lang w:val="en-US"/>
        </w:rPr>
        <w:t xml:space="preserve"> Hugo// Journal of Applied Social Psychology, 1993/ 23/ 16 pp/ 1263-1284/.</w:t>
      </w:r>
    </w:p>
    <w:p w:rsidR="00665254" w:rsidRPr="00665254" w:rsidRDefault="00665254" w:rsidP="00665254">
      <w:pPr>
        <w:jc w:val="both"/>
        <w:rPr>
          <w:sz w:val="28"/>
          <w:szCs w:val="28"/>
          <w:lang w:val="en-US"/>
        </w:rPr>
      </w:pPr>
    </w:p>
    <w:p w:rsidR="00665254" w:rsidRPr="00665254" w:rsidRDefault="00665254" w:rsidP="00665254">
      <w:pPr>
        <w:rPr>
          <w:sz w:val="28"/>
          <w:szCs w:val="28"/>
          <w:lang w:val="en-US"/>
        </w:rPr>
      </w:pPr>
    </w:p>
    <w:p w:rsidR="00665254" w:rsidRPr="00665254" w:rsidRDefault="00665254" w:rsidP="00665254">
      <w:pPr>
        <w:rPr>
          <w:sz w:val="28"/>
          <w:szCs w:val="28"/>
          <w:lang w:val="en-US"/>
        </w:rPr>
      </w:pPr>
    </w:p>
    <w:p w:rsidR="00665254" w:rsidRPr="00665254" w:rsidRDefault="00665254" w:rsidP="00665254">
      <w:pPr>
        <w:rPr>
          <w:sz w:val="28"/>
          <w:szCs w:val="28"/>
          <w:lang w:val="en-US"/>
        </w:rPr>
      </w:pPr>
    </w:p>
    <w:p w:rsidR="00665254" w:rsidRPr="00665254" w:rsidRDefault="00665254" w:rsidP="00665254">
      <w:pPr>
        <w:rPr>
          <w:sz w:val="28"/>
          <w:szCs w:val="28"/>
          <w:lang w:val="en-US"/>
        </w:rPr>
      </w:pPr>
    </w:p>
    <w:sectPr w:rsidR="00665254" w:rsidRPr="00665254">
      <w:pgSz w:w="11906" w:h="16838"/>
      <w:pgMar w:top="1440" w:right="567" w:bottom="141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9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722A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65254"/>
    <w:rsid w:val="00665254"/>
    <w:rsid w:val="009E5D02"/>
    <w:rsid w:val="00C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65254"/>
    <w:pPr>
      <w:keepNext/>
      <w:jc w:val="center"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link w:val="20"/>
    <w:qFormat/>
    <w:rsid w:val="00665254"/>
    <w:pPr>
      <w:keepNext/>
      <w:ind w:left="709" w:right="-99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665254"/>
    <w:pPr>
      <w:keepNext/>
      <w:jc w:val="both"/>
      <w:outlineLvl w:val="2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665254"/>
    <w:pPr>
      <w:keepNext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665254"/>
    <w:pPr>
      <w:keepNext/>
      <w:ind w:firstLine="709"/>
      <w:jc w:val="center"/>
      <w:outlineLvl w:val="6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65254"/>
    <w:pPr>
      <w:ind w:right="-99"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6525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uiPriority w:val="99"/>
    <w:semiHidden/>
    <w:unhideWhenUsed/>
    <w:rsid w:val="006652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5254"/>
  </w:style>
  <w:style w:type="paragraph" w:styleId="31">
    <w:name w:val="Body Text 3"/>
    <w:basedOn w:val="a"/>
    <w:link w:val="32"/>
    <w:uiPriority w:val="99"/>
    <w:unhideWhenUsed/>
    <w:rsid w:val="006652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25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652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5254"/>
  </w:style>
  <w:style w:type="character" w:customStyle="1" w:styleId="10">
    <w:name w:val="Заголовок 1 Знак"/>
    <w:basedOn w:val="a0"/>
    <w:link w:val="1"/>
    <w:rsid w:val="00665254"/>
    <w:rPr>
      <w:rFonts w:ascii="Times New Roman" w:eastAsia="Times New Roman" w:hAnsi="Times New Roman" w:cs="Times New Roman"/>
      <w:sz w:val="28"/>
      <w:szCs w:val="20"/>
      <w:u w:val="single"/>
      <w:lang w:val="uk-UA" w:eastAsia="uk-UA"/>
    </w:rPr>
  </w:style>
  <w:style w:type="character" w:customStyle="1" w:styleId="20">
    <w:name w:val="Заголовок 2 Знак"/>
    <w:basedOn w:val="a0"/>
    <w:link w:val="2"/>
    <w:rsid w:val="00665254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rsid w:val="0066525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665254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rsid w:val="00665254"/>
    <w:rPr>
      <w:rFonts w:ascii="Times New Roman" w:eastAsia="Times New Roman" w:hAnsi="Times New Roman" w:cs="Times New Roman"/>
      <w:b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CA7-8AD0-4170-B2E8-207A583E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2016-08-19T08:15:00Z</dcterms:created>
  <dcterms:modified xsi:type="dcterms:W3CDTF">2016-08-19T08:28:00Z</dcterms:modified>
</cp:coreProperties>
</file>